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9" w:lineRule="exact"/>
        <w:rPr>
          <w:rFonts w:ascii="MS PGothic" w:cs="MS PGothic" w:eastAsia="MS PGothic" w:hAnsi="MS PGothic"/>
          <w:sz w:val="20"/>
          <w:szCs w:val="20"/>
          <w:color w:val="auto"/>
        </w:rPr>
      </w:pPr>
    </w:p>
    <w:p>
      <w:pPr>
        <w:jc w:val="both"/>
        <w:ind w:left="640" w:right="8820" w:hanging="6"/>
        <w:spacing w:after="0" w:line="257"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5"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926400102</w:t>
            </w:r>
          </w:p>
        </w:tc>
        <w:tc>
          <w:tcPr>
            <w:tcW w:w="3220" w:type="dxa"/>
            <w:vAlign w:val="bottom"/>
          </w:tcPr>
          <w:p>
            <w:pPr>
              <w:ind w:left="58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338"/>
        </w:trPr>
        <w:tc>
          <w:tcPr>
            <w:tcW w:w="1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50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3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500" w:type="dxa"/>
            <w:vAlign w:val="bottom"/>
            <w:vMerge w:val="restart"/>
          </w:tcPr>
          <w:p>
            <w:pPr>
              <w:ind w:left="740"/>
              <w:spacing w:after="0"/>
              <w:rPr>
                <w:sz w:val="20"/>
                <w:szCs w:val="20"/>
                <w:color w:val="auto"/>
              </w:rPr>
            </w:pPr>
            <w:r>
              <w:rPr>
                <w:rFonts w:ascii="Arial" w:cs="Arial" w:eastAsia="Arial" w:hAnsi="Arial"/>
                <w:sz w:val="20"/>
                <w:szCs w:val="20"/>
                <w:color w:val="auto"/>
              </w:rPr>
              <w:t>Lone Pine Capital LLC</w:t>
            </w:r>
          </w:p>
        </w:tc>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295" w:lineRule="exact"/>
              <w:rPr>
                <w:sz w:val="20"/>
                <w:szCs w:val="20"/>
                <w:color w:val="auto"/>
              </w:rPr>
            </w:pPr>
            <w:r>
              <w:rPr>
                <w:rFonts w:ascii="Arial" w:cs="Arial" w:eastAsia="Arial" w:hAnsi="Arial"/>
                <w:sz w:val="29"/>
                <w:szCs w:val="29"/>
                <w:b w:val="1"/>
                <w:bCs w:val="1"/>
                <w:color w:val="auto"/>
              </w:rPr>
              <w:t>2</w:t>
            </w:r>
          </w:p>
        </w:tc>
        <w:tc>
          <w:tcPr>
            <w:tcW w:w="67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22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35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ind w:left="22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700" w:hanging="967"/>
        <w:spacing w:after="0" w:line="182" w:lineRule="auto"/>
        <w:tabs>
          <w:tab w:leader="none" w:pos="170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660" w:type="dxa"/>
            <w:vAlign w:val="bottom"/>
            <w:gridSpan w:val="2"/>
          </w:tcPr>
          <w:p>
            <w:pPr>
              <w:jc w:val="right"/>
              <w:ind w:right="61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8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8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6</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4"/>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320" w:type="dxa"/>
            <w:vAlign w:val="bottom"/>
          </w:tcPr>
          <w:p>
            <w:pPr>
              <w:jc w:val="center"/>
              <w:ind w:left="136"/>
              <w:spacing w:after="0" w:line="324" w:lineRule="exact"/>
              <w:rPr>
                <w:sz w:val="20"/>
                <w:szCs w:val="20"/>
                <w:color w:val="auto"/>
              </w:rPr>
            </w:pPr>
            <w:r>
              <w:rPr>
                <w:rFonts w:ascii="Arial" w:cs="Arial" w:eastAsia="Arial" w:hAnsi="Arial"/>
                <w:sz w:val="29"/>
                <w:szCs w:val="29"/>
                <w:b w:val="1"/>
                <w:bCs w:val="1"/>
                <w:color w:val="auto"/>
                <w:w w:val="86"/>
              </w:rPr>
              <w:t>10</w:t>
            </w:r>
          </w:p>
        </w:tc>
        <w:tc>
          <w:tcPr>
            <w:tcW w:w="7880" w:type="dxa"/>
            <w:vAlign w:val="bottom"/>
            <w:vMerge w:val="restart"/>
          </w:tcPr>
          <w:p>
            <w:pPr>
              <w:ind w:left="38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7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32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11</w:t>
            </w:r>
          </w:p>
        </w:tc>
        <w:tc>
          <w:tcPr>
            <w:tcW w:w="788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12</w:t>
            </w:r>
          </w:p>
        </w:tc>
        <w:tc>
          <w:tcPr>
            <w:tcW w:w="788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OO</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926400102</w:t>
            </w:r>
          </w:p>
        </w:tc>
        <w:tc>
          <w:tcPr>
            <w:tcW w:w="3220" w:type="dxa"/>
            <w:vAlign w:val="bottom"/>
          </w:tcPr>
          <w:p>
            <w:pPr>
              <w:ind w:left="58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820"/>
              <w:spacing w:after="0"/>
              <w:rPr>
                <w:sz w:val="20"/>
                <w:szCs w:val="20"/>
                <w:color w:val="auto"/>
              </w:rPr>
            </w:pPr>
            <w:r>
              <w:rPr>
                <w:rFonts w:ascii="Arial" w:cs="Arial" w:eastAsia="Arial" w:hAnsi="Arial"/>
                <w:sz w:val="18"/>
                <w:szCs w:val="18"/>
                <w:b w:val="1"/>
                <w:bCs w:val="1"/>
                <w:color w:val="auto"/>
                <w:w w:val="84"/>
              </w:rPr>
              <w:t>Page 3 of 11 Pages</w:t>
            </w:r>
          </w:p>
        </w:tc>
        <w:tc>
          <w:tcPr>
            <w:tcW w:w="0" w:type="dxa"/>
            <w:vAlign w:val="bottom"/>
          </w:tcPr>
          <w:p>
            <w:pPr>
              <w:spacing w:after="0"/>
              <w:rPr>
                <w:sz w:val="1"/>
                <w:szCs w:val="1"/>
                <w:color w:val="auto"/>
              </w:rPr>
            </w:pPr>
          </w:p>
        </w:tc>
      </w:tr>
      <w:tr>
        <w:trPr>
          <w:trHeight w:val="567"/>
        </w:trPr>
        <w:tc>
          <w:tcPr>
            <w:tcW w:w="1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50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3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500" w:type="dxa"/>
            <w:vAlign w:val="bottom"/>
            <w:vMerge w:val="restart"/>
          </w:tcPr>
          <w:p>
            <w:pPr>
              <w:ind w:left="740"/>
              <w:spacing w:after="0"/>
              <w:rPr>
                <w:sz w:val="20"/>
                <w:szCs w:val="20"/>
                <w:color w:val="auto"/>
              </w:rPr>
            </w:pPr>
            <w:r>
              <w:rPr>
                <w:rFonts w:ascii="Arial" w:cs="Arial" w:eastAsia="Arial" w:hAnsi="Arial"/>
                <w:sz w:val="20"/>
                <w:szCs w:val="20"/>
                <w:color w:val="auto"/>
              </w:rPr>
              <w:t>David F. Craver</w:t>
            </w:r>
          </w:p>
        </w:tc>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295" w:lineRule="exact"/>
              <w:rPr>
                <w:sz w:val="20"/>
                <w:szCs w:val="20"/>
                <w:color w:val="auto"/>
              </w:rPr>
            </w:pPr>
            <w:r>
              <w:rPr>
                <w:rFonts w:ascii="Arial" w:cs="Arial" w:eastAsia="Arial" w:hAnsi="Arial"/>
                <w:sz w:val="29"/>
                <w:szCs w:val="29"/>
                <w:b w:val="1"/>
                <w:bCs w:val="1"/>
                <w:color w:val="auto"/>
              </w:rPr>
              <w:t>2</w:t>
            </w:r>
          </w:p>
        </w:tc>
        <w:tc>
          <w:tcPr>
            <w:tcW w:w="67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22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35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ind w:left="22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700" w:hanging="967"/>
        <w:spacing w:after="0" w:line="182" w:lineRule="auto"/>
        <w:tabs>
          <w:tab w:leader="none" w:pos="1700" w:val="left"/>
        </w:tabs>
        <w:numPr>
          <w:ilvl w:val="0"/>
          <w:numId w:val="5"/>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660" w:type="dxa"/>
            <w:vAlign w:val="bottom"/>
            <w:gridSpan w:val="2"/>
          </w:tcPr>
          <w:p>
            <w:pPr>
              <w:jc w:val="right"/>
              <w:ind w:right="61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2"/>
            <w:vMerge w:val="restart"/>
          </w:tcPr>
          <w:p>
            <w:pPr>
              <w:jc w:val="right"/>
              <w:ind w:right="711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6</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6"/>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6"/>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320" w:type="dxa"/>
            <w:vAlign w:val="bottom"/>
          </w:tcPr>
          <w:p>
            <w:pPr>
              <w:jc w:val="center"/>
              <w:ind w:left="136"/>
              <w:spacing w:after="0" w:line="324" w:lineRule="exact"/>
              <w:rPr>
                <w:sz w:val="20"/>
                <w:szCs w:val="20"/>
                <w:color w:val="auto"/>
              </w:rPr>
            </w:pPr>
            <w:r>
              <w:rPr>
                <w:rFonts w:ascii="Arial" w:cs="Arial" w:eastAsia="Arial" w:hAnsi="Arial"/>
                <w:sz w:val="29"/>
                <w:szCs w:val="29"/>
                <w:b w:val="1"/>
                <w:bCs w:val="1"/>
                <w:color w:val="auto"/>
                <w:w w:val="86"/>
              </w:rPr>
              <w:t>10</w:t>
            </w:r>
          </w:p>
        </w:tc>
        <w:tc>
          <w:tcPr>
            <w:tcW w:w="7880" w:type="dxa"/>
            <w:vAlign w:val="bottom"/>
            <w:vMerge w:val="restart"/>
          </w:tcPr>
          <w:p>
            <w:pPr>
              <w:ind w:left="38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7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11</w:t>
            </w:r>
          </w:p>
        </w:tc>
        <w:tc>
          <w:tcPr>
            <w:tcW w:w="788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12</w:t>
            </w:r>
          </w:p>
        </w:tc>
        <w:tc>
          <w:tcPr>
            <w:tcW w:w="788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926400102</w:t>
            </w:r>
          </w:p>
        </w:tc>
        <w:tc>
          <w:tcPr>
            <w:tcW w:w="3220" w:type="dxa"/>
            <w:vAlign w:val="bottom"/>
          </w:tcPr>
          <w:p>
            <w:pPr>
              <w:ind w:left="58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820"/>
              <w:spacing w:after="0"/>
              <w:rPr>
                <w:sz w:val="20"/>
                <w:szCs w:val="20"/>
                <w:color w:val="auto"/>
              </w:rPr>
            </w:pPr>
            <w:r>
              <w:rPr>
                <w:rFonts w:ascii="Arial" w:cs="Arial" w:eastAsia="Arial" w:hAnsi="Arial"/>
                <w:sz w:val="18"/>
                <w:szCs w:val="18"/>
                <w:b w:val="1"/>
                <w:bCs w:val="1"/>
                <w:color w:val="auto"/>
                <w:w w:val="84"/>
              </w:rPr>
              <w:t>Page 4 of 11 Pages</w:t>
            </w:r>
          </w:p>
        </w:tc>
        <w:tc>
          <w:tcPr>
            <w:tcW w:w="0" w:type="dxa"/>
            <w:vAlign w:val="bottom"/>
          </w:tcPr>
          <w:p>
            <w:pPr>
              <w:spacing w:after="0"/>
              <w:rPr>
                <w:sz w:val="1"/>
                <w:szCs w:val="1"/>
                <w:color w:val="auto"/>
              </w:rPr>
            </w:pPr>
          </w:p>
        </w:tc>
      </w:tr>
      <w:tr>
        <w:trPr>
          <w:trHeight w:val="567"/>
        </w:trPr>
        <w:tc>
          <w:tcPr>
            <w:tcW w:w="1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50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3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500" w:type="dxa"/>
            <w:vAlign w:val="bottom"/>
            <w:vMerge w:val="restart"/>
          </w:tcPr>
          <w:p>
            <w:pPr>
              <w:ind w:left="740"/>
              <w:spacing w:after="0"/>
              <w:rPr>
                <w:sz w:val="20"/>
                <w:szCs w:val="20"/>
                <w:color w:val="auto"/>
              </w:rPr>
            </w:pPr>
            <w:r>
              <w:rPr>
                <w:rFonts w:ascii="Arial" w:cs="Arial" w:eastAsia="Arial" w:hAnsi="Arial"/>
                <w:sz w:val="20"/>
                <w:szCs w:val="20"/>
                <w:color w:val="auto"/>
              </w:rPr>
              <w:t>Brian F. Doherty</w:t>
            </w:r>
          </w:p>
        </w:tc>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295" w:lineRule="exact"/>
              <w:rPr>
                <w:sz w:val="20"/>
                <w:szCs w:val="20"/>
                <w:color w:val="auto"/>
              </w:rPr>
            </w:pPr>
            <w:r>
              <w:rPr>
                <w:rFonts w:ascii="Arial" w:cs="Arial" w:eastAsia="Arial" w:hAnsi="Arial"/>
                <w:sz w:val="29"/>
                <w:szCs w:val="29"/>
                <w:b w:val="1"/>
                <w:bCs w:val="1"/>
                <w:color w:val="auto"/>
              </w:rPr>
              <w:t>2</w:t>
            </w:r>
          </w:p>
        </w:tc>
        <w:tc>
          <w:tcPr>
            <w:tcW w:w="67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22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35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ind w:left="22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700" w:hanging="967"/>
        <w:spacing w:after="0" w:line="182" w:lineRule="auto"/>
        <w:tabs>
          <w:tab w:leader="none" w:pos="1700" w:val="left"/>
        </w:tabs>
        <w:numPr>
          <w:ilvl w:val="0"/>
          <w:numId w:val="7"/>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660" w:type="dxa"/>
            <w:vAlign w:val="bottom"/>
            <w:gridSpan w:val="2"/>
          </w:tcPr>
          <w:p>
            <w:pPr>
              <w:jc w:val="right"/>
              <w:ind w:right="61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2"/>
            <w:vMerge w:val="restart"/>
          </w:tcPr>
          <w:p>
            <w:pPr>
              <w:jc w:val="right"/>
              <w:ind w:right="711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6</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8"/>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8"/>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320" w:type="dxa"/>
            <w:vAlign w:val="bottom"/>
          </w:tcPr>
          <w:p>
            <w:pPr>
              <w:jc w:val="center"/>
              <w:ind w:left="136"/>
              <w:spacing w:after="0" w:line="324" w:lineRule="exact"/>
              <w:rPr>
                <w:sz w:val="20"/>
                <w:szCs w:val="20"/>
                <w:color w:val="auto"/>
              </w:rPr>
            </w:pPr>
            <w:r>
              <w:rPr>
                <w:rFonts w:ascii="Arial" w:cs="Arial" w:eastAsia="Arial" w:hAnsi="Arial"/>
                <w:sz w:val="29"/>
                <w:szCs w:val="29"/>
                <w:b w:val="1"/>
                <w:bCs w:val="1"/>
                <w:color w:val="auto"/>
                <w:w w:val="86"/>
              </w:rPr>
              <w:t>10</w:t>
            </w:r>
          </w:p>
        </w:tc>
        <w:tc>
          <w:tcPr>
            <w:tcW w:w="7880" w:type="dxa"/>
            <w:vAlign w:val="bottom"/>
            <w:vMerge w:val="restart"/>
          </w:tcPr>
          <w:p>
            <w:pPr>
              <w:ind w:left="38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7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11</w:t>
            </w:r>
          </w:p>
        </w:tc>
        <w:tc>
          <w:tcPr>
            <w:tcW w:w="788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12</w:t>
            </w:r>
          </w:p>
        </w:tc>
        <w:tc>
          <w:tcPr>
            <w:tcW w:w="788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926400102</w:t>
            </w:r>
          </w:p>
        </w:tc>
        <w:tc>
          <w:tcPr>
            <w:tcW w:w="3220" w:type="dxa"/>
            <w:vAlign w:val="bottom"/>
          </w:tcPr>
          <w:p>
            <w:pPr>
              <w:ind w:left="58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820"/>
              <w:spacing w:after="0"/>
              <w:rPr>
                <w:sz w:val="20"/>
                <w:szCs w:val="20"/>
                <w:color w:val="auto"/>
              </w:rPr>
            </w:pPr>
            <w:r>
              <w:rPr>
                <w:rFonts w:ascii="Arial" w:cs="Arial" w:eastAsia="Arial" w:hAnsi="Arial"/>
                <w:sz w:val="18"/>
                <w:szCs w:val="18"/>
                <w:b w:val="1"/>
                <w:bCs w:val="1"/>
                <w:color w:val="auto"/>
                <w:w w:val="84"/>
              </w:rPr>
              <w:t>Page 5 of 11 Pages</w:t>
            </w:r>
          </w:p>
        </w:tc>
        <w:tc>
          <w:tcPr>
            <w:tcW w:w="0" w:type="dxa"/>
            <w:vAlign w:val="bottom"/>
          </w:tcPr>
          <w:p>
            <w:pPr>
              <w:spacing w:after="0"/>
              <w:rPr>
                <w:sz w:val="1"/>
                <w:szCs w:val="1"/>
                <w:color w:val="auto"/>
              </w:rPr>
            </w:pPr>
          </w:p>
        </w:tc>
      </w:tr>
      <w:tr>
        <w:trPr>
          <w:trHeight w:val="567"/>
        </w:trPr>
        <w:tc>
          <w:tcPr>
            <w:tcW w:w="1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00" w:type="dxa"/>
            <w:vAlign w:val="bottom"/>
            <w:vMerge w:val="restart"/>
          </w:tcPr>
          <w:p>
            <w:pPr>
              <w:jc w:val="right"/>
              <w:ind w:right="294"/>
              <w:spacing w:after="0"/>
              <w:rPr>
                <w:sz w:val="20"/>
                <w:szCs w:val="20"/>
                <w:color w:val="auto"/>
              </w:rPr>
            </w:pPr>
            <w:r>
              <w:rPr>
                <w:rFonts w:ascii="Arial" w:cs="Arial" w:eastAsia="Arial" w:hAnsi="Arial"/>
                <w:sz w:val="29"/>
                <w:szCs w:val="29"/>
                <w:b w:val="1"/>
                <w:bCs w:val="1"/>
                <w:color w:val="auto"/>
              </w:rPr>
              <w:t>1</w:t>
            </w:r>
          </w:p>
        </w:tc>
        <w:tc>
          <w:tcPr>
            <w:tcW w:w="350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3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500" w:type="dxa"/>
            <w:vAlign w:val="bottom"/>
            <w:vMerge w:val="restart"/>
          </w:tcPr>
          <w:p>
            <w:pPr>
              <w:ind w:left="740"/>
              <w:spacing w:after="0"/>
              <w:rPr>
                <w:sz w:val="20"/>
                <w:szCs w:val="20"/>
                <w:color w:val="auto"/>
              </w:rPr>
            </w:pPr>
            <w:r>
              <w:rPr>
                <w:rFonts w:ascii="Arial" w:cs="Arial" w:eastAsia="Arial" w:hAnsi="Arial"/>
                <w:sz w:val="20"/>
                <w:szCs w:val="20"/>
                <w:color w:val="auto"/>
              </w:rPr>
              <w:t>Kelly A. Granat</w:t>
            </w:r>
          </w:p>
        </w:tc>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gridSpan w:val="2"/>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94"/>
              <w:spacing w:after="0" w:line="295" w:lineRule="exact"/>
              <w:rPr>
                <w:sz w:val="20"/>
                <w:szCs w:val="20"/>
                <w:color w:val="auto"/>
              </w:rPr>
            </w:pPr>
            <w:r>
              <w:rPr>
                <w:rFonts w:ascii="Arial" w:cs="Arial" w:eastAsia="Arial" w:hAnsi="Arial"/>
                <w:sz w:val="29"/>
                <w:szCs w:val="29"/>
                <w:b w:val="1"/>
                <w:bCs w:val="1"/>
                <w:color w:val="auto"/>
              </w:rPr>
              <w:t>2</w:t>
            </w:r>
          </w:p>
        </w:tc>
        <w:tc>
          <w:tcPr>
            <w:tcW w:w="6720" w:type="dxa"/>
            <w:vAlign w:val="bottom"/>
            <w:gridSpan w:val="2"/>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22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35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ind w:left="22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700" w:hanging="967"/>
        <w:spacing w:after="0" w:line="182" w:lineRule="auto"/>
        <w:tabs>
          <w:tab w:leader="none" w:pos="1700" w:val="left"/>
        </w:tabs>
        <w:numPr>
          <w:ilvl w:val="0"/>
          <w:numId w:val="9"/>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660" w:type="dxa"/>
            <w:vAlign w:val="bottom"/>
            <w:gridSpan w:val="2"/>
          </w:tcPr>
          <w:p>
            <w:pPr>
              <w:jc w:val="right"/>
              <w:ind w:right="61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2"/>
            <w:vMerge w:val="restart"/>
          </w:tcPr>
          <w:p>
            <w:pPr>
              <w:jc w:val="right"/>
              <w:ind w:right="711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9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840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6</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line="308" w:lineRule="exact"/>
              <w:rPr>
                <w:sz w:val="20"/>
                <w:szCs w:val="20"/>
                <w:color w:val="auto"/>
              </w:rPr>
            </w:pPr>
            <w:r>
              <w:rPr>
                <w:rFonts w:ascii="Arial" w:cs="Arial" w:eastAsia="Arial" w:hAnsi="Arial"/>
                <w:sz w:val="29"/>
                <w:szCs w:val="29"/>
                <w:b w:val="1"/>
                <w:bCs w:val="1"/>
                <w:color w:val="auto"/>
              </w:rPr>
              <w:t>7</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840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vMerge w:val="restart"/>
          </w:tcPr>
          <w:p>
            <w:pPr>
              <w:jc w:val="right"/>
              <w:ind w:right="755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8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0"/>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140" w:hanging="107"/>
        <w:spacing w:after="0"/>
        <w:tabs>
          <w:tab w:leader="none" w:pos="21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320" w:type="dxa"/>
            <w:vAlign w:val="bottom"/>
          </w:tcPr>
          <w:p>
            <w:pPr>
              <w:jc w:val="center"/>
              <w:ind w:left="136"/>
              <w:spacing w:after="0" w:line="324" w:lineRule="exact"/>
              <w:rPr>
                <w:sz w:val="20"/>
                <w:szCs w:val="20"/>
                <w:color w:val="auto"/>
              </w:rPr>
            </w:pPr>
            <w:r>
              <w:rPr>
                <w:rFonts w:ascii="Arial" w:cs="Arial" w:eastAsia="Arial" w:hAnsi="Arial"/>
                <w:sz w:val="29"/>
                <w:szCs w:val="29"/>
                <w:b w:val="1"/>
                <w:bCs w:val="1"/>
                <w:color w:val="auto"/>
                <w:w w:val="86"/>
              </w:rPr>
              <w:t>10</w:t>
            </w:r>
          </w:p>
        </w:tc>
        <w:tc>
          <w:tcPr>
            <w:tcW w:w="7880" w:type="dxa"/>
            <w:vAlign w:val="bottom"/>
            <w:vMerge w:val="restart"/>
          </w:tcPr>
          <w:p>
            <w:pPr>
              <w:ind w:left="38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320" w:type="dxa"/>
            <w:vAlign w:val="bottom"/>
          </w:tcPr>
          <w:p>
            <w:pPr>
              <w:spacing w:after="0"/>
              <w:rPr>
                <w:sz w:val="4"/>
                <w:szCs w:val="4"/>
                <w:color w:val="auto"/>
              </w:rPr>
            </w:pPr>
          </w:p>
        </w:tc>
        <w:tc>
          <w:tcPr>
            <w:tcW w:w="7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tcBorders>
          </w:tcPr>
          <w:p>
            <w:pPr>
              <w:spacing w:after="0"/>
              <w:rPr>
                <w:sz w:val="22"/>
                <w:szCs w:val="22"/>
                <w:color w:val="auto"/>
              </w:rPr>
            </w:pPr>
          </w:p>
        </w:tc>
        <w:tc>
          <w:tcPr>
            <w:tcW w:w="78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11</w:t>
            </w:r>
          </w:p>
        </w:tc>
        <w:tc>
          <w:tcPr>
            <w:tcW w:w="788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2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320" w:type="dxa"/>
            <w:vAlign w:val="bottom"/>
            <w:vMerge w:val="restart"/>
          </w:tcPr>
          <w:p>
            <w:pPr>
              <w:jc w:val="center"/>
              <w:ind w:left="136"/>
              <w:spacing w:after="0"/>
              <w:rPr>
                <w:sz w:val="20"/>
                <w:szCs w:val="20"/>
                <w:color w:val="auto"/>
              </w:rPr>
            </w:pPr>
            <w:r>
              <w:rPr>
                <w:rFonts w:ascii="Arial" w:cs="Arial" w:eastAsia="Arial" w:hAnsi="Arial"/>
                <w:sz w:val="29"/>
                <w:szCs w:val="29"/>
                <w:b w:val="1"/>
                <w:bCs w:val="1"/>
                <w:color w:val="auto"/>
                <w:w w:val="86"/>
              </w:rPr>
              <w:t>12</w:t>
            </w:r>
          </w:p>
        </w:tc>
        <w:tc>
          <w:tcPr>
            <w:tcW w:w="788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88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6 of 11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Stephen F. Mandel, Jr.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11"/>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440" w:type="dxa"/>
            <w:vAlign w:val="bottom"/>
            <w:gridSpan w:val="2"/>
          </w:tcPr>
          <w:p>
            <w:pPr>
              <w:jc w:val="right"/>
              <w:ind w:right="59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9440" w:type="dxa"/>
            <w:vAlign w:val="bottom"/>
            <w:gridSpan w:val="2"/>
            <w:vMerge w:val="restart"/>
          </w:tcPr>
          <w:p>
            <w:pPr>
              <w:jc w:val="right"/>
              <w:ind w:right="689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9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5</w:t>
            </w:r>
          </w:p>
        </w:tc>
        <w:tc>
          <w:tcPr>
            <w:tcW w:w="7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6</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2"/>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7</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8</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12"/>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360" w:hanging="111"/>
        <w:spacing w:after="0"/>
        <w:tabs>
          <w:tab w:leader="none" w:pos="23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500" w:type="dxa"/>
            <w:vAlign w:val="bottom"/>
          </w:tcPr>
          <w:p>
            <w:pPr>
              <w:jc w:val="center"/>
              <w:ind w:left="176"/>
              <w:spacing w:after="0" w:line="324" w:lineRule="exact"/>
              <w:rPr>
                <w:sz w:val="20"/>
                <w:szCs w:val="20"/>
                <w:color w:val="auto"/>
              </w:rPr>
            </w:pPr>
            <w:r>
              <w:rPr>
                <w:rFonts w:ascii="Arial" w:cs="Arial" w:eastAsia="Arial" w:hAnsi="Arial"/>
                <w:sz w:val="29"/>
                <w:szCs w:val="29"/>
                <w:b w:val="1"/>
                <w:bCs w:val="1"/>
                <w:color w:val="auto"/>
                <w:w w:val="92"/>
              </w:rPr>
              <w:t>10</w:t>
            </w:r>
          </w:p>
        </w:tc>
        <w:tc>
          <w:tcPr>
            <w:tcW w:w="7700" w:type="dxa"/>
            <w:vAlign w:val="bottom"/>
            <w:vMerge w:val="restart"/>
          </w:tcPr>
          <w:p>
            <w:pPr>
              <w:ind w:left="4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76"/>
              <w:spacing w:after="0"/>
              <w:rPr>
                <w:sz w:val="20"/>
                <w:szCs w:val="20"/>
                <w:color w:val="auto"/>
              </w:rPr>
            </w:pPr>
            <w:r>
              <w:rPr>
                <w:rFonts w:ascii="Arial" w:cs="Arial" w:eastAsia="Arial" w:hAnsi="Arial"/>
                <w:sz w:val="29"/>
                <w:szCs w:val="29"/>
                <w:b w:val="1"/>
                <w:bCs w:val="1"/>
                <w:color w:val="auto"/>
                <w:w w:val="80"/>
              </w:rPr>
              <w:t>11</w:t>
            </w:r>
          </w:p>
        </w:tc>
        <w:tc>
          <w:tcPr>
            <w:tcW w:w="7700" w:type="dxa"/>
            <w:vAlign w:val="bottom"/>
          </w:tcPr>
          <w:p>
            <w:pPr>
              <w:ind w:left="4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76"/>
              <w:spacing w:after="0"/>
              <w:rPr>
                <w:sz w:val="20"/>
                <w:szCs w:val="20"/>
                <w:color w:val="auto"/>
              </w:rPr>
            </w:pPr>
            <w:r>
              <w:rPr>
                <w:rFonts w:ascii="Arial" w:cs="Arial" w:eastAsia="Arial" w:hAnsi="Arial"/>
                <w:sz w:val="29"/>
                <w:szCs w:val="29"/>
                <w:b w:val="1"/>
                <w:bCs w:val="1"/>
                <w:color w:val="auto"/>
                <w:w w:val="92"/>
              </w:rPr>
              <w:t>12</w:t>
            </w:r>
          </w:p>
        </w:tc>
        <w:tc>
          <w:tcPr>
            <w:tcW w:w="7700" w:type="dxa"/>
            <w:vAlign w:val="bottom"/>
          </w:tcPr>
          <w:p>
            <w:pPr>
              <w:ind w:left="4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IN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926400102</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7 of 11 Pages</w:t>
            </w:r>
          </w:p>
        </w:tc>
        <w:tc>
          <w:tcPr>
            <w:tcW w:w="0" w:type="dxa"/>
            <w:vAlign w:val="bottom"/>
          </w:tcPr>
          <w:p>
            <w:pPr>
              <w:spacing w:after="0"/>
              <w:rPr>
                <w:sz w:val="1"/>
                <w:szCs w:val="1"/>
                <w:color w:val="auto"/>
              </w:rPr>
            </w:pPr>
          </w:p>
        </w:tc>
      </w:tr>
      <w:tr>
        <w:trPr>
          <w:trHeight w:val="540"/>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Kerry A. Tyler</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295" w:lineRule="exact"/>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630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4500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500245"/>
                    </a:xfrm>
                    <a:prstGeom prst="rect">
                      <a:avLst/>
                    </a:prstGeom>
                    <a:noFill/>
                  </pic:spPr>
                </pic:pic>
              </a:graphicData>
            </a:graphic>
          </wp:anchor>
        </w:drawing>
      </w:r>
    </w:p>
    <w:p>
      <w:pPr>
        <w:ind w:left="1920" w:hanging="1079"/>
        <w:spacing w:after="0" w:line="182" w:lineRule="auto"/>
        <w:tabs>
          <w:tab w:leader="none" w:pos="1920" w:val="left"/>
        </w:tabs>
        <w:numPr>
          <w:ilvl w:val="0"/>
          <w:numId w:val="13"/>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440" w:type="dxa"/>
            <w:vAlign w:val="bottom"/>
            <w:gridSpan w:val="2"/>
          </w:tcPr>
          <w:p>
            <w:pPr>
              <w:jc w:val="right"/>
              <w:ind w:right="59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9440" w:type="dxa"/>
            <w:vAlign w:val="bottom"/>
            <w:gridSpan w:val="2"/>
            <w:vMerge w:val="restart"/>
          </w:tcPr>
          <w:p>
            <w:pPr>
              <w:jc w:val="right"/>
              <w:ind w:right="689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9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5</w:t>
            </w:r>
          </w:p>
        </w:tc>
        <w:tc>
          <w:tcPr>
            <w:tcW w:w="7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6</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7</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8</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09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14"/>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5" w:lineRule="exact"/>
        <w:rPr>
          <w:rFonts w:ascii="Arial" w:cs="Arial" w:eastAsia="Arial" w:hAnsi="Arial"/>
          <w:sz w:val="29"/>
          <w:szCs w:val="29"/>
          <w:b w:val="1"/>
          <w:bCs w:val="1"/>
          <w:color w:val="auto"/>
          <w:vertAlign w:val="subscript"/>
        </w:rPr>
      </w:pPr>
    </w:p>
    <w:p>
      <w:pPr>
        <w:ind w:left="2360" w:hanging="111"/>
        <w:spacing w:after="0"/>
        <w:tabs>
          <w:tab w:leader="none" w:pos="23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0 -</w:t>
      </w:r>
    </w:p>
    <w:tbl>
      <w:tblPr>
        <w:tblLayout w:type="fixed"/>
        <w:tblInd w:w="0" w:type="dxa"/>
        <w:tblCellMar>
          <w:top w:w="0" w:type="dxa"/>
          <w:left w:w="0" w:type="dxa"/>
          <w:bottom w:w="0" w:type="dxa"/>
          <w:right w:w="0" w:type="dxa"/>
        </w:tblCellMar>
      </w:tblPr>
      <w:tr>
        <w:trPr>
          <w:trHeight w:val="324"/>
        </w:trPr>
        <w:tc>
          <w:tcPr>
            <w:tcW w:w="1500" w:type="dxa"/>
            <w:vAlign w:val="bottom"/>
          </w:tcPr>
          <w:p>
            <w:pPr>
              <w:jc w:val="center"/>
              <w:ind w:left="176"/>
              <w:spacing w:after="0" w:line="324" w:lineRule="exact"/>
              <w:rPr>
                <w:sz w:val="20"/>
                <w:szCs w:val="20"/>
                <w:color w:val="auto"/>
              </w:rPr>
            </w:pPr>
            <w:r>
              <w:rPr>
                <w:rFonts w:ascii="Arial" w:cs="Arial" w:eastAsia="Arial" w:hAnsi="Arial"/>
                <w:sz w:val="29"/>
                <w:szCs w:val="29"/>
                <w:b w:val="1"/>
                <w:bCs w:val="1"/>
                <w:color w:val="auto"/>
                <w:w w:val="92"/>
              </w:rPr>
              <w:t>10</w:t>
            </w:r>
          </w:p>
        </w:tc>
        <w:tc>
          <w:tcPr>
            <w:tcW w:w="7700" w:type="dxa"/>
            <w:vAlign w:val="bottom"/>
            <w:vMerge w:val="restart"/>
          </w:tcPr>
          <w:p>
            <w:pPr>
              <w:ind w:left="4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76"/>
              <w:spacing w:after="0"/>
              <w:rPr>
                <w:sz w:val="20"/>
                <w:szCs w:val="20"/>
                <w:color w:val="auto"/>
              </w:rPr>
            </w:pPr>
            <w:r>
              <w:rPr>
                <w:rFonts w:ascii="Arial" w:cs="Arial" w:eastAsia="Arial" w:hAnsi="Arial"/>
                <w:sz w:val="29"/>
                <w:szCs w:val="29"/>
                <w:b w:val="1"/>
                <w:bCs w:val="1"/>
                <w:color w:val="auto"/>
                <w:w w:val="80"/>
              </w:rPr>
              <w:t>11</w:t>
            </w:r>
          </w:p>
        </w:tc>
        <w:tc>
          <w:tcPr>
            <w:tcW w:w="7700" w:type="dxa"/>
            <w:vAlign w:val="bottom"/>
          </w:tcPr>
          <w:p>
            <w:pPr>
              <w:ind w:left="4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76"/>
              <w:spacing w:after="0"/>
              <w:rPr>
                <w:sz w:val="20"/>
                <w:szCs w:val="20"/>
                <w:color w:val="auto"/>
              </w:rPr>
            </w:pPr>
            <w:r>
              <w:rPr>
                <w:rFonts w:ascii="Arial" w:cs="Arial" w:eastAsia="Arial" w:hAnsi="Arial"/>
                <w:sz w:val="29"/>
                <w:szCs w:val="29"/>
                <w:b w:val="1"/>
                <w:bCs w:val="1"/>
                <w:color w:val="auto"/>
                <w:w w:val="92"/>
              </w:rPr>
              <w:t>12</w:t>
            </w:r>
          </w:p>
        </w:tc>
        <w:tc>
          <w:tcPr>
            <w:tcW w:w="7700" w:type="dxa"/>
            <w:vAlign w:val="bottom"/>
          </w:tcPr>
          <w:p>
            <w:pPr>
              <w:ind w:left="4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IN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The name of the issuer is Victoria's Secret &amp; Co.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The Company's principal executive offices are located at 4 Limited Parkway East, Reynoldsburg, OH 43068.</w:t>
      </w:r>
    </w:p>
    <w:p>
      <w:pPr>
        <w:spacing w:after="0" w:line="23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jc w:val="both"/>
        <w:ind w:left="2600" w:right="100" w:hanging="801"/>
        <w:spacing w:after="0" w:line="273" w:lineRule="auto"/>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Lone Pine Capital LLC, a Delaware limited liability company ("</w:t>
      </w:r>
      <w:r>
        <w:rPr>
          <w:rFonts w:ascii="Arial" w:cs="Arial" w:eastAsia="Arial" w:hAnsi="Arial"/>
          <w:sz w:val="18"/>
          <w:szCs w:val="18"/>
          <w:u w:val="single" w:color="auto"/>
          <w:color w:val="auto"/>
        </w:rPr>
        <w:t>Lone Pine Capital</w:t>
      </w:r>
      <w:r>
        <w:rPr>
          <w:rFonts w:ascii="Arial" w:cs="Arial" w:eastAsia="Arial" w:hAnsi="Arial"/>
          <w:sz w:val="18"/>
          <w:szCs w:val="18"/>
          <w:color w:val="auto"/>
        </w:rPr>
        <w:t>"), which serves as investment manager to Lone Spruce, L.P., a Delaware limited partnership ("</w:t>
      </w:r>
      <w:r>
        <w:rPr>
          <w:rFonts w:ascii="Arial" w:cs="Arial" w:eastAsia="Arial" w:hAnsi="Arial"/>
          <w:sz w:val="18"/>
          <w:szCs w:val="18"/>
          <w:u w:val="single" w:color="auto"/>
          <w:color w:val="auto"/>
        </w:rPr>
        <w:t>Lone Spruce</w:t>
      </w:r>
      <w:r>
        <w:rPr>
          <w:rFonts w:ascii="Arial" w:cs="Arial" w:eastAsia="Arial" w:hAnsi="Arial"/>
          <w:sz w:val="18"/>
          <w:szCs w:val="18"/>
          <w:color w:val="auto"/>
        </w:rPr>
        <w:t>"), Lone Cascade, L.P., a Delaware limited partnership ("</w:t>
      </w:r>
      <w:r>
        <w:rPr>
          <w:rFonts w:ascii="Arial" w:cs="Arial" w:eastAsia="Arial" w:hAnsi="Arial"/>
          <w:sz w:val="18"/>
          <w:szCs w:val="18"/>
          <w:u w:val="single" w:color="auto"/>
          <w:color w:val="auto"/>
        </w:rPr>
        <w:t>Lone Cascade</w:t>
      </w:r>
      <w:r>
        <w:rPr>
          <w:rFonts w:ascii="Arial" w:cs="Arial" w:eastAsia="Arial" w:hAnsi="Arial"/>
          <w:sz w:val="18"/>
          <w:szCs w:val="18"/>
          <w:color w:val="auto"/>
        </w:rPr>
        <w:t>"), Lone Sierra, L.P., a Delaware limited partnership ("</w:t>
      </w:r>
      <w:r>
        <w:rPr>
          <w:rFonts w:ascii="Arial" w:cs="Arial" w:eastAsia="Arial" w:hAnsi="Arial"/>
          <w:sz w:val="18"/>
          <w:szCs w:val="18"/>
          <w:u w:val="single" w:color="auto"/>
          <w:color w:val="auto"/>
        </w:rPr>
        <w:t>Lone Sierra</w:t>
      </w:r>
      <w:r>
        <w:rPr>
          <w:rFonts w:ascii="Arial" w:cs="Arial" w:eastAsia="Arial" w:hAnsi="Arial"/>
          <w:sz w:val="18"/>
          <w:szCs w:val="18"/>
          <w:color w:val="auto"/>
        </w:rPr>
        <w:t>"), Lone Cypress, Ltd., a Cayman Islands exempted company ("</w:t>
      </w:r>
      <w:r>
        <w:rPr>
          <w:rFonts w:ascii="Arial" w:cs="Arial" w:eastAsia="Arial" w:hAnsi="Arial"/>
          <w:sz w:val="18"/>
          <w:szCs w:val="18"/>
          <w:u w:val="single" w:color="auto"/>
          <w:color w:val="auto"/>
        </w:rPr>
        <w:t>Lone Cypress</w:t>
      </w:r>
      <w:r>
        <w:rPr>
          <w:rFonts w:ascii="Arial" w:cs="Arial" w:eastAsia="Arial" w:hAnsi="Arial"/>
          <w:sz w:val="18"/>
          <w:szCs w:val="18"/>
          <w:color w:val="auto"/>
        </w:rPr>
        <w:t>"), and Lone Monterey Master Fund, Ltd., a Cayman Islands exempted company ("</w:t>
      </w:r>
      <w:r>
        <w:rPr>
          <w:rFonts w:ascii="Arial" w:cs="Arial" w:eastAsia="Arial" w:hAnsi="Arial"/>
          <w:sz w:val="18"/>
          <w:szCs w:val="18"/>
          <w:u w:val="single" w:color="auto"/>
          <w:color w:val="auto"/>
        </w:rPr>
        <w:t>Lone Monterey Master Fund</w:t>
      </w:r>
      <w:r>
        <w:rPr>
          <w:rFonts w:ascii="Arial" w:cs="Arial" w:eastAsia="Arial" w:hAnsi="Arial"/>
          <w:sz w:val="18"/>
          <w:szCs w:val="18"/>
          <w:color w:val="auto"/>
        </w:rPr>
        <w:t>", and together with Lone Spruce, Lone Cascade, Lone Sierra and Lone Cypress, the "</w:t>
      </w:r>
      <w:r>
        <w:rPr>
          <w:rFonts w:ascii="Arial" w:cs="Arial" w:eastAsia="Arial" w:hAnsi="Arial"/>
          <w:sz w:val="18"/>
          <w:szCs w:val="18"/>
          <w:u w:val="single" w:color="auto"/>
          <w:color w:val="auto"/>
        </w:rPr>
        <w:t>Lone Pine Funds</w:t>
      </w:r>
      <w:r>
        <w:rPr>
          <w:rFonts w:ascii="Arial" w:cs="Arial" w:eastAsia="Arial" w:hAnsi="Arial"/>
          <w:sz w:val="18"/>
          <w:szCs w:val="18"/>
          <w:color w:val="auto"/>
        </w:rPr>
        <w:t>"), with respect to the shares of Common Stock directly held by each of the Lone Pine Funds. Lone Pine Capital has the authority to dispose of and vote the shares of Common Stock directly held by the Lone Pine Funds;</w:t>
      </w:r>
    </w:p>
    <w:p>
      <w:pPr>
        <w:spacing w:after="0" w:line="181" w:lineRule="exact"/>
        <w:rPr>
          <w:rFonts w:ascii="Arial" w:cs="Arial" w:eastAsia="Arial" w:hAnsi="Arial"/>
          <w:sz w:val="18"/>
          <w:szCs w:val="18"/>
          <w:color w:val="auto"/>
        </w:rPr>
      </w:pPr>
    </w:p>
    <w:p>
      <w:pPr>
        <w:jc w:val="both"/>
        <w:ind w:left="2600" w:right="100" w:hanging="801"/>
        <w:spacing w:after="0" w:line="246" w:lineRule="auto"/>
        <w:tabs>
          <w:tab w:leader="none" w:pos="2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David F. Craver ("</w:t>
      </w:r>
      <w:r>
        <w:rPr>
          <w:rFonts w:ascii="Arial" w:cs="Arial" w:eastAsia="Arial" w:hAnsi="Arial"/>
          <w:sz w:val="20"/>
          <w:szCs w:val="20"/>
          <w:u w:val="single" w:color="auto"/>
          <w:color w:val="auto"/>
        </w:rPr>
        <w:t>Mr. Craver</w:t>
      </w:r>
      <w:r>
        <w:rPr>
          <w:rFonts w:ascii="Arial" w:cs="Arial" w:eastAsia="Arial" w:hAnsi="Arial"/>
          <w:sz w:val="20"/>
          <w:szCs w:val="20"/>
          <w:color w:val="auto"/>
        </w:rPr>
        <w:t>"), Brian F. Doherty ("</w:t>
      </w:r>
      <w:r>
        <w:rPr>
          <w:rFonts w:ascii="Arial" w:cs="Arial" w:eastAsia="Arial" w:hAnsi="Arial"/>
          <w:sz w:val="20"/>
          <w:szCs w:val="20"/>
          <w:u w:val="single" w:color="auto"/>
          <w:color w:val="auto"/>
        </w:rPr>
        <w:t>Mr. Doherty</w:t>
      </w:r>
      <w:r>
        <w:rPr>
          <w:rFonts w:ascii="Arial" w:cs="Arial" w:eastAsia="Arial" w:hAnsi="Arial"/>
          <w:sz w:val="20"/>
          <w:szCs w:val="20"/>
          <w:color w:val="auto"/>
        </w:rPr>
        <w:t>"), Kelly A. Granat ("</w:t>
      </w:r>
      <w:r>
        <w:rPr>
          <w:rFonts w:ascii="Arial" w:cs="Arial" w:eastAsia="Arial" w:hAnsi="Arial"/>
          <w:sz w:val="20"/>
          <w:szCs w:val="20"/>
          <w:u w:val="single" w:color="auto"/>
          <w:color w:val="auto"/>
        </w:rPr>
        <w:t>Ms. Granat</w:t>
      </w:r>
      <w:r>
        <w:rPr>
          <w:rFonts w:ascii="Arial" w:cs="Arial" w:eastAsia="Arial" w:hAnsi="Arial"/>
          <w:sz w:val="20"/>
          <w:szCs w:val="20"/>
          <w:color w:val="auto"/>
        </w:rPr>
        <w:t>"), and Kerry A. Tyler ("</w:t>
      </w:r>
      <w:r>
        <w:rPr>
          <w:rFonts w:ascii="Arial" w:cs="Arial" w:eastAsia="Arial" w:hAnsi="Arial"/>
          <w:sz w:val="20"/>
          <w:szCs w:val="20"/>
          <w:u w:val="single" w:color="auto"/>
          <w:color w:val="auto"/>
        </w:rPr>
        <w:t>Ms. Tyler</w:t>
      </w:r>
      <w:r>
        <w:rPr>
          <w:rFonts w:ascii="Arial" w:cs="Arial" w:eastAsia="Arial" w:hAnsi="Arial"/>
          <w:sz w:val="20"/>
          <w:szCs w:val="20"/>
          <w:color w:val="auto"/>
        </w:rPr>
        <w:t>"), each an Executive Committee Member of Lone Pine Managing Member LLC, which is the Managing Member of Lone Pine Capital, with respect to the shares of Common Stock directly held by each of the Lone Pine Funds; and</w:t>
      </w:r>
    </w:p>
    <w:p>
      <w:pPr>
        <w:spacing w:after="0" w:line="204" w:lineRule="exact"/>
        <w:rPr>
          <w:rFonts w:ascii="Arial" w:cs="Arial" w:eastAsia="Arial" w:hAnsi="Arial"/>
          <w:sz w:val="20"/>
          <w:szCs w:val="20"/>
          <w:color w:val="auto"/>
        </w:rPr>
      </w:pPr>
    </w:p>
    <w:p>
      <w:pPr>
        <w:jc w:val="both"/>
        <w:ind w:left="2600" w:right="100" w:hanging="801"/>
        <w:spacing w:after="0" w:line="250" w:lineRule="auto"/>
        <w:tabs>
          <w:tab w:leader="none" w:pos="26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Stephen F. Mandel, Jr. ("</w:t>
      </w:r>
      <w:r>
        <w:rPr>
          <w:rFonts w:ascii="Arial" w:cs="Arial" w:eastAsia="Arial" w:hAnsi="Arial"/>
          <w:sz w:val="20"/>
          <w:szCs w:val="20"/>
          <w:u w:val="single" w:color="auto"/>
          <w:color w:val="auto"/>
        </w:rPr>
        <w:t>Mr. Mandel</w:t>
      </w:r>
      <w:r>
        <w:rPr>
          <w:rFonts w:ascii="Arial" w:cs="Arial" w:eastAsia="Arial" w:hAnsi="Arial"/>
          <w:sz w:val="20"/>
          <w:szCs w:val="20"/>
          <w:color w:val="auto"/>
        </w:rPr>
        <w:t>"), the Managing Member of Lone Pine Managing Member LLC, which is the Managing Member of Lone Pine Capital, with respect to the shares of Common Stock directly held by each of the Lone Pine Funds.</w:t>
      </w:r>
    </w:p>
    <w:p>
      <w:pPr>
        <w:spacing w:after="0" w:line="199" w:lineRule="exact"/>
        <w:rPr>
          <w:sz w:val="20"/>
          <w:szCs w:val="20"/>
          <w:color w:val="auto"/>
        </w:rPr>
      </w:pPr>
    </w:p>
    <w:p>
      <w:pPr>
        <w:jc w:val="both"/>
        <w:ind w:left="1800" w:right="120"/>
        <w:spacing w:after="0" w:line="291" w:lineRule="auto"/>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Any disclosures herein with respect to persons other than the Reporting Persons are made on information and belief after making inquiry to the appropriate party. None of the Reporting Persons directly own any shares of Common Stock.</w:t>
      </w:r>
    </w:p>
    <w:p>
      <w:pPr>
        <w:spacing w:after="0" w:line="165" w:lineRule="exact"/>
        <w:rPr>
          <w:sz w:val="20"/>
          <w:szCs w:val="20"/>
          <w:color w:val="auto"/>
        </w:rPr>
      </w:pPr>
    </w:p>
    <w:p>
      <w:pPr>
        <w:jc w:val="both"/>
        <w:ind w:left="1800" w:right="100"/>
        <w:spacing w:after="0" w:line="287" w:lineRule="auto"/>
        <w:rPr>
          <w:sz w:val="20"/>
          <w:szCs w:val="20"/>
          <w:color w:val="auto"/>
        </w:rPr>
      </w:pPr>
      <w:r>
        <w:rPr>
          <w:rFonts w:ascii="Arial" w:cs="Arial" w:eastAsia="Arial" w:hAnsi="Arial"/>
          <w:sz w:val="19"/>
          <w:szCs w:val="19"/>
          <w:color w:val="auto"/>
        </w:rPr>
        <w:t>The filing of this statement should not be construed as an admission that any of the Reporting Persons is, for the purposes of Section 13 of the Act, the beneficial owner of the shares of Common Stock reported herein.</w:t>
      </w:r>
    </w:p>
    <w:p>
      <w:pPr>
        <w:spacing w:after="0" w:line="160"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jc w:val="both"/>
        <w:ind w:left="1800" w:right="100"/>
        <w:spacing w:after="0" w:line="260" w:lineRule="auto"/>
        <w:rPr>
          <w:sz w:val="20"/>
          <w:szCs w:val="20"/>
          <w:color w:val="auto"/>
        </w:rPr>
      </w:pPr>
      <w:r>
        <w:rPr>
          <w:rFonts w:ascii="Arial" w:cs="Arial" w:eastAsia="Arial" w:hAnsi="Arial"/>
          <w:sz w:val="20"/>
          <w:szCs w:val="20"/>
          <w:color w:val="auto"/>
        </w:rPr>
        <w:t>The address of the business office of each of the Reporting Persons is Two Greenwich Plaza, Greenwich, Connecticut 06830.</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3"/>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38"/>
        </w:trPr>
        <w:tc>
          <w:tcPr>
            <w:tcW w:w="1260" w:type="dxa"/>
            <w:vAlign w:val="bottom"/>
          </w:tcPr>
          <w:p>
            <w:pPr>
              <w:spacing w:after="0"/>
              <w:rPr>
                <w:sz w:val="24"/>
                <w:szCs w:val="24"/>
                <w:color w:val="auto"/>
              </w:rPr>
            </w:pPr>
          </w:p>
        </w:tc>
        <w:tc>
          <w:tcPr>
            <w:tcW w:w="9760" w:type="dxa"/>
            <w:vAlign w:val="bottom"/>
            <w:gridSpan w:val="3"/>
          </w:tcPr>
          <w:p>
            <w:pPr>
              <w:ind w:left="420"/>
              <w:spacing w:after="0"/>
              <w:rPr>
                <w:sz w:val="20"/>
                <w:szCs w:val="20"/>
                <w:color w:val="auto"/>
              </w:rPr>
            </w:pPr>
            <w:r>
              <w:rPr>
                <w:rFonts w:ascii="Arial" w:cs="Arial" w:eastAsia="Arial" w:hAnsi="Arial"/>
                <w:sz w:val="20"/>
                <w:szCs w:val="20"/>
                <w:color w:val="auto"/>
                <w:w w:val="92"/>
              </w:rPr>
              <w:t>Lone Pine Capital is a limited liability company organized under the laws of the State of Delaware. Mr. Craver, Mr.</w:t>
            </w:r>
          </w:p>
        </w:tc>
      </w:tr>
      <w:tr>
        <w:trPr>
          <w:trHeight w:val="250"/>
        </w:trPr>
        <w:tc>
          <w:tcPr>
            <w:tcW w:w="1260" w:type="dxa"/>
            <w:vAlign w:val="bottom"/>
          </w:tcPr>
          <w:p>
            <w:pPr>
              <w:spacing w:after="0"/>
              <w:rPr>
                <w:sz w:val="21"/>
                <w:szCs w:val="21"/>
                <w:color w:val="auto"/>
              </w:rPr>
            </w:pPr>
          </w:p>
        </w:tc>
        <w:tc>
          <w:tcPr>
            <w:tcW w:w="9760" w:type="dxa"/>
            <w:vAlign w:val="bottom"/>
            <w:gridSpan w:val="3"/>
          </w:tcPr>
          <w:p>
            <w:pPr>
              <w:ind w:left="420"/>
              <w:spacing w:after="0"/>
              <w:rPr>
                <w:sz w:val="20"/>
                <w:szCs w:val="20"/>
                <w:color w:val="auto"/>
              </w:rPr>
            </w:pPr>
            <w:r>
              <w:rPr>
                <w:rFonts w:ascii="Arial" w:cs="Arial" w:eastAsia="Arial" w:hAnsi="Arial"/>
                <w:sz w:val="20"/>
                <w:szCs w:val="20"/>
                <w:color w:val="auto"/>
              </w:rPr>
              <w:t>Doherty, Ms. Granat, Mr. Mandel and Ms. Tyler are United States citizens.</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60" w:type="dxa"/>
            <w:vAlign w:val="bottom"/>
            <w:gridSpan w:val="3"/>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4"/>
        </w:trPr>
        <w:tc>
          <w:tcPr>
            <w:tcW w:w="1260" w:type="dxa"/>
            <w:vAlign w:val="bottom"/>
          </w:tcPr>
          <w:p>
            <w:pPr>
              <w:spacing w:after="0"/>
              <w:rPr>
                <w:sz w:val="24"/>
                <w:szCs w:val="24"/>
                <w:color w:val="auto"/>
              </w:rPr>
            </w:pPr>
          </w:p>
        </w:tc>
        <w:tc>
          <w:tcPr>
            <w:tcW w:w="9760" w:type="dxa"/>
            <w:vAlign w:val="bottom"/>
            <w:gridSpan w:val="3"/>
          </w:tcPr>
          <w:p>
            <w:pPr>
              <w:ind w:left="420"/>
              <w:spacing w:after="0"/>
              <w:rPr>
                <w:sz w:val="20"/>
                <w:szCs w:val="20"/>
                <w:color w:val="auto"/>
              </w:rPr>
            </w:pPr>
            <w:r>
              <w:rPr>
                <w:rFonts w:ascii="Arial" w:cs="Arial" w:eastAsia="Arial" w:hAnsi="Arial"/>
                <w:sz w:val="20"/>
                <w:szCs w:val="20"/>
                <w:color w:val="auto"/>
              </w:rPr>
              <w:t>Common stock, par value $0.01 per share (the "Common Stock").</w:t>
            </w: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200" w:type="dxa"/>
            <w:vAlign w:val="bottom"/>
          </w:tcPr>
          <w:p>
            <w:pPr>
              <w:ind w:left="42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4200" w:type="dxa"/>
            <w:vAlign w:val="bottom"/>
          </w:tcPr>
          <w:p>
            <w:pPr>
              <w:ind w:left="420"/>
              <w:spacing w:after="0"/>
              <w:rPr>
                <w:sz w:val="20"/>
                <w:szCs w:val="20"/>
                <w:color w:val="auto"/>
              </w:rPr>
            </w:pPr>
            <w:r>
              <w:rPr>
                <w:rFonts w:ascii="Arial" w:cs="Arial" w:eastAsia="Arial" w:hAnsi="Arial"/>
                <w:sz w:val="20"/>
                <w:szCs w:val="20"/>
                <w:color w:val="auto"/>
              </w:rPr>
              <w:t>926400102</w:t>
            </w:r>
          </w:p>
        </w:tc>
        <w:tc>
          <w:tcPr>
            <w:tcW w:w="1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3"/>
          </w:tcPr>
          <w:p>
            <w:pPr>
              <w:ind w:left="420"/>
              <w:spacing w:after="0"/>
              <w:rPr>
                <w:sz w:val="20"/>
                <w:szCs w:val="20"/>
                <w:color w:val="auto"/>
              </w:rPr>
            </w:pPr>
            <w:r>
              <w:rPr>
                <w:rFonts w:ascii="Arial" w:cs="Arial" w:eastAsia="Arial" w:hAnsi="Arial"/>
                <w:sz w:val="20"/>
                <w:szCs w:val="20"/>
                <w:b w:val="1"/>
                <w:bCs w:val="1"/>
                <w:color w:val="auto"/>
              </w:rPr>
              <w:t>IF THIS STATEMENT IS FILED PURSUANT TO §§ 240.13d-1(b) OR 240.13d-2(b) OR (c), CHECK</w:t>
            </w:r>
          </w:p>
        </w:tc>
      </w:tr>
      <w:tr>
        <w:trPr>
          <w:trHeight w:val="256"/>
        </w:trPr>
        <w:tc>
          <w:tcPr>
            <w:tcW w:w="1260" w:type="dxa"/>
            <w:vAlign w:val="bottom"/>
          </w:tcPr>
          <w:p>
            <w:pPr>
              <w:spacing w:after="0"/>
              <w:rPr>
                <w:sz w:val="22"/>
                <w:szCs w:val="22"/>
                <w:color w:val="auto"/>
              </w:rPr>
            </w:pPr>
          </w:p>
        </w:tc>
        <w:tc>
          <w:tcPr>
            <w:tcW w:w="9760" w:type="dxa"/>
            <w:vAlign w:val="bottom"/>
            <w:gridSpan w:val="3"/>
          </w:tcPr>
          <w:p>
            <w:pPr>
              <w:ind w:left="420"/>
              <w:spacing w:after="0"/>
              <w:rPr>
                <w:sz w:val="20"/>
                <w:szCs w:val="20"/>
                <w:color w:val="auto"/>
              </w:rPr>
            </w:pPr>
            <w:r>
              <w:rPr>
                <w:rFonts w:ascii="Arial" w:cs="Arial" w:eastAsia="Arial" w:hAnsi="Arial"/>
                <w:sz w:val="20"/>
                <w:szCs w:val="20"/>
                <w:b w:val="1"/>
                <w:bCs w:val="1"/>
                <w:color w:val="auto"/>
              </w:rPr>
              <w:t>WHETHER THE PERSON FILING IS A:</w:t>
            </w:r>
          </w:p>
        </w:tc>
      </w:tr>
    </w:tbl>
    <w:p>
      <w:pPr>
        <w:spacing w:after="0" w:line="185" w:lineRule="exact"/>
        <w:rPr>
          <w:sz w:val="20"/>
          <w:szCs w:val="20"/>
          <w:color w:val="auto"/>
        </w:rPr>
      </w:pPr>
    </w:p>
    <w:p>
      <w:pPr>
        <w:ind w:left="2620" w:hanging="827"/>
        <w:spacing w:after="0" w:line="230" w:lineRule="exact"/>
        <w:tabs>
          <w:tab w:leader="none" w:pos="2620"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140" w:right="180" w:hanging="1347"/>
        <w:spacing w:after="0" w:line="252" w:lineRule="exact"/>
        <w:tabs>
          <w:tab w:leader="none" w:pos="2618"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Employee benefit plan or endowment fund in accordance with</w:t>
      </w:r>
    </w:p>
    <w:p>
      <w:pPr>
        <w:spacing w:after="0" w:line="39"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180" w:right="3180" w:hanging="1387"/>
        <w:spacing w:after="0" w:line="240" w:lineRule="exact"/>
        <w:tabs>
          <w:tab w:leader="none" w:pos="2615"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Parent holding company or control person in accordance with Rule 13d-1(b)(1)(ii)(G);</w:t>
      </w:r>
    </w:p>
    <w:p>
      <w:pPr>
        <w:spacing w:after="0" w:line="195" w:lineRule="exact"/>
        <w:rPr>
          <w:rFonts w:ascii="Arial" w:cs="Arial" w:eastAsia="Arial" w:hAnsi="Arial"/>
          <w:sz w:val="20"/>
          <w:szCs w:val="20"/>
          <w:color w:val="auto"/>
        </w:rPr>
      </w:pPr>
    </w:p>
    <w:p>
      <w:pPr>
        <w:ind w:left="3140" w:right="600" w:hanging="1347"/>
        <w:spacing w:after="0" w:line="252" w:lineRule="exact"/>
        <w:tabs>
          <w:tab w:leader="none" w:pos="2618"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6" w:lineRule="exact"/>
        <w:rPr>
          <w:rFonts w:ascii="Arial" w:cs="Arial" w:eastAsia="Arial" w:hAnsi="Arial"/>
          <w:sz w:val="20"/>
          <w:szCs w:val="20"/>
          <w:color w:val="auto"/>
        </w:rPr>
      </w:pPr>
    </w:p>
    <w:p>
      <w:pPr>
        <w:ind w:left="3140" w:right="300" w:hanging="1347"/>
        <w:spacing w:after="0" w:line="252" w:lineRule="exact"/>
        <w:tabs>
          <w:tab w:leader="none" w:pos="2618"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620" w:hanging="827"/>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__________________________</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Reporting Person.</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right="460"/>
        <w:spacing w:after="0" w:line="258"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18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926400102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2023</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David F. Craver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David F. Craver,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Brian F.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Brian F. Doherty, individually and as an Executive Committee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of Lone Pine Managing Member LLC, as Managing Member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of Lone 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Kelly A.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Kelly A. Granat,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Stephen F. Mandel,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Stephen F. Mandel, Jr., individually and as Managing Member of Lone</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Pine Managing Member LLC, as Managing Member of Lone Pine</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Capital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Kerry A. Tyler, individually and as an Executive Committee Member</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Lone Pine Managing Member LLC, as Managing Member of Lone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Pine Capital LLC</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9"/>
      <w:numFmt w:val="bullet"/>
      <w:start w:val="1"/>
    </w:lvl>
    <w:lvl w:ilvl="1">
      <w:lvlJc w:val="left"/>
      <w:lvlText w:val="-"/>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9"/>
      <w:numFmt w:val="bullet"/>
      <w:start w:val="1"/>
    </w:lvl>
    <w:lvl w:ilvl="1">
      <w:lvlJc w:val="left"/>
      <w:lvlText w:val="-"/>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9"/>
      <w:numFmt w:val="bullet"/>
      <w:start w:val="1"/>
    </w:lvl>
    <w:lvl w:ilvl="1">
      <w:lvlJc w:val="left"/>
      <w:lvlText w:val="-"/>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9"/>
      <w:numFmt w:val="bullet"/>
      <w:start w:val="1"/>
    </w:lvl>
    <w:lvl w:ilvl="1">
      <w:lvlJc w:val="left"/>
      <w:lvlText w:val="-"/>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9"/>
      <w:numFmt w:val="bullet"/>
      <w:start w:val="1"/>
    </w:lvl>
    <w:lvl w:ilvl="1">
      <w:lvlJc w:val="left"/>
      <w:lvlText w:val="-"/>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9"/>
      <w:numFmt w:val="bullet"/>
      <w:start w:val="1"/>
    </w:lvl>
    <w:lvl w:ilvl="1">
      <w:lvlJc w:val="left"/>
      <w:lvlText w:val="-"/>
      <w:numFmt w:val="bullet"/>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2023-02-14T11:07:58Z</dcterms:created>
  <dcterms:modified xsi:type="dcterms:W3CDTF">2023-02-14T11:07:58Z</dcterms:modified>
</cp:coreProperties>
</file>