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6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CURRENT REPORT PURSUANT</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TO SECTION 13 OR 15(d) OF THE</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EXCHANGE ACT OF 1934</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August 18, 2021</w:t>
      </w:r>
    </w:p>
    <w:p>
      <w:pPr>
        <w:spacing w:after="0" w:line="113"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Victoria's Secret &amp; Co.</w:t>
            </w:r>
          </w:p>
        </w:tc>
      </w:tr>
      <w:tr>
        <w:trPr>
          <w:trHeight w:val="140"/>
        </w:trPr>
        <w:tc>
          <w:tcPr>
            <w:tcW w:w="2520" w:type="dxa"/>
            <w:vAlign w:val="bottom"/>
          </w:tcPr>
          <w:p>
            <w:pPr>
              <w:spacing w:after="0"/>
              <w:rPr>
                <w:sz w:val="12"/>
                <w:szCs w:val="12"/>
                <w:color w:val="auto"/>
              </w:rPr>
            </w:pPr>
          </w:p>
        </w:tc>
        <w:tc>
          <w:tcPr>
            <w:tcW w:w="6720" w:type="dxa"/>
            <w:vAlign w:val="bottom"/>
          </w:tcPr>
          <w:p>
            <w:pPr>
              <w:jc w:val="center"/>
              <w:ind w:right="2534"/>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555"/>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Delaware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511"/>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0"/>
              </w:rPr>
              <w:t>001-40515</w:t>
            </w:r>
          </w:p>
        </w:tc>
        <w:tc>
          <w:tcPr>
            <w:tcW w:w="6720" w:type="dxa"/>
            <w:vAlign w:val="bottom"/>
          </w:tcPr>
          <w:p>
            <w:pPr>
              <w:jc w:val="right"/>
              <w:ind w:right="734"/>
              <w:spacing w:after="0"/>
              <w:rPr>
                <w:sz w:val="20"/>
                <w:szCs w:val="20"/>
                <w:color w:val="auto"/>
              </w:rPr>
            </w:pPr>
            <w:r>
              <w:rPr>
                <w:rFonts w:ascii="Arial" w:cs="Arial" w:eastAsia="Arial" w:hAnsi="Arial"/>
                <w:sz w:val="18"/>
                <w:szCs w:val="18"/>
                <w:b w:val="1"/>
                <w:bCs w:val="1"/>
                <w:color w:val="auto"/>
              </w:rPr>
              <w:t>86-3167653</w:t>
            </w:r>
          </w:p>
        </w:tc>
      </w:tr>
      <w:tr>
        <w:trPr>
          <w:trHeight w:val="230"/>
        </w:trPr>
        <w:tc>
          <w:tcPr>
            <w:tcW w:w="2520" w:type="dxa"/>
            <w:vAlign w:val="bottom"/>
          </w:tcPr>
          <w:p>
            <w:pPr>
              <w:jc w:val="center"/>
              <w:ind w:right="94"/>
              <w:spacing w:after="0"/>
              <w:rPr>
                <w:sz w:val="20"/>
                <w:szCs w:val="20"/>
                <w:color w:val="auto"/>
              </w:rPr>
            </w:pPr>
            <w:r>
              <w:rPr>
                <w:rFonts w:ascii="Arial" w:cs="Arial" w:eastAsia="Arial" w:hAnsi="Arial"/>
                <w:sz w:val="18"/>
                <w:szCs w:val="18"/>
                <w:color w:val="auto"/>
                <w:w w:val="92"/>
              </w:rPr>
              <w:t>(Commission File Number)</w:t>
            </w:r>
          </w:p>
        </w:tc>
        <w:tc>
          <w:tcPr>
            <w:tcW w:w="6720" w:type="dxa"/>
            <w:vAlign w:val="bottom"/>
          </w:tcPr>
          <w:p>
            <w:pPr>
              <w:jc w:val="center"/>
              <w:ind w:left="4154"/>
              <w:spacing w:after="0"/>
              <w:rPr>
                <w:sz w:val="20"/>
                <w:szCs w:val="20"/>
                <w:color w:val="auto"/>
              </w:rPr>
            </w:pPr>
            <w:r>
              <w:rPr>
                <w:rFonts w:ascii="Arial" w:cs="Arial" w:eastAsia="Arial" w:hAnsi="Arial"/>
                <w:sz w:val="18"/>
                <w:szCs w:val="18"/>
                <w:color w:val="auto"/>
                <w:w w:val="94"/>
              </w:rPr>
              <w:t>(IRS Employer Identification No.)</w:t>
            </w:r>
          </w:p>
        </w:tc>
      </w:tr>
      <w:tr>
        <w:trPr>
          <w:trHeight w:val="495"/>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2"/>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Arial" w:cs="Arial" w:eastAsia="Arial" w:hAnsi="Arial"/>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Arial" w:cs="Arial" w:eastAsia="Arial" w:hAnsi="Arial"/>
                <w:sz w:val="18"/>
                <w:szCs w:val="18"/>
                <w:b w:val="1"/>
                <w:bCs w:val="1"/>
                <w:color w:val="auto"/>
              </w:rPr>
              <w:t>43068</w:t>
            </w:r>
          </w:p>
        </w:tc>
      </w:tr>
      <w:tr>
        <w:trPr>
          <w:trHeight w:val="182"/>
        </w:trPr>
        <w:tc>
          <w:tcPr>
            <w:tcW w:w="2520" w:type="dxa"/>
            <w:vAlign w:val="bottom"/>
          </w:tcPr>
          <w:p>
            <w:pPr>
              <w:jc w:val="center"/>
              <w:ind w:right="94"/>
              <w:spacing w:after="0"/>
              <w:rPr>
                <w:sz w:val="20"/>
                <w:szCs w:val="20"/>
                <w:color w:val="auto"/>
              </w:rPr>
            </w:pPr>
            <w:r>
              <w:rPr>
                <w:rFonts w:ascii="Arial" w:cs="Arial" w:eastAsia="Arial" w:hAnsi="Arial"/>
                <w:sz w:val="14"/>
                <w:szCs w:val="14"/>
                <w:color w:val="auto"/>
                <w:w w:val="95"/>
              </w:rPr>
              <w:t>(Address of Principal Executive Offices)</w:t>
            </w:r>
          </w:p>
        </w:tc>
        <w:tc>
          <w:tcPr>
            <w:tcW w:w="672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r>
        <w:trPr>
          <w:trHeight w:val="520"/>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0"/>
              </w:rPr>
              <w:t>(614) 577-7000</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54"/>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439"/>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2"/>
              </w:rPr>
              <w:t>Not Applicable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74"/>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70"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1"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The New York Stock Exchange</w:t>
            </w:r>
          </w:p>
        </w:tc>
      </w:tr>
    </w:tbl>
    <w:p>
      <w:pPr>
        <w:spacing w:after="0" w:line="175"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6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August 18, 2021, Victoria's Secret &amp; Co. issued a press release setting forth its second quarter 2021 results, and its third quarter 2021 earnings guidance. A copy of the press release is attached hereto as Exhibit 99.1 and is hereby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 w:lineRule="exact"/>
        <w:rPr>
          <w:sz w:val="20"/>
          <w:szCs w:val="20"/>
          <w:color w:val="auto"/>
        </w:rPr>
      </w:pPr>
    </w:p>
    <w:p>
      <w:pPr>
        <w:spacing w:after="0"/>
        <w:tabs>
          <w:tab w:leader="none" w:pos="1060" w:val="left"/>
        </w:tabs>
        <w:rPr>
          <w:rFonts w:ascii="Arial" w:cs="Arial" w:eastAsia="Arial" w:hAnsi="Arial"/>
          <w:sz w:val="18"/>
          <w:szCs w:val="18"/>
          <w:color w:val="0000FF"/>
        </w:rPr>
      </w:pPr>
      <w:hyperlink w:anchor="page4">
        <w:r>
          <w:rPr>
            <w:rFonts w:ascii="Arial" w:cs="Arial" w:eastAsia="Arial" w:hAnsi="Arial"/>
            <w:sz w:val="18"/>
            <w:szCs w:val="18"/>
            <w:u w:val="single" w:color="auto"/>
            <w:color w:val="0000FF"/>
          </w:rPr>
          <w:t>Exhibit 99.1</w:t>
        </w:r>
      </w:hyperlink>
      <w:r>
        <w:rPr>
          <w:rFonts w:ascii="Arial" w:cs="Arial" w:eastAsia="Arial" w:hAnsi="Arial"/>
          <w:sz w:val="18"/>
          <w:szCs w:val="18"/>
          <w:color w:val="0000FF"/>
        </w:rPr>
        <w:tab/>
      </w:r>
      <w:r>
        <w:rPr>
          <w:rFonts w:ascii="Arial" w:cs="Arial" w:eastAsia="Arial" w:hAnsi="Arial"/>
          <w:sz w:val="16"/>
          <w:szCs w:val="16"/>
          <w:color w:val="0000FF"/>
        </w:rPr>
        <w:t>Press Release of Victoria's Secret &amp; Co., dated August 18, 2021.</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Arial" w:cs="Arial" w:eastAsia="Arial" w:hAnsi="Arial"/>
          <w:sz w:val="18"/>
          <w:szCs w:val="18"/>
          <w:color w:val="auto"/>
        </w:rPr>
        <w:t>Date: August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Tim Johnson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16510</wp:posOffset>
            </wp:positionV>
            <wp:extent cx="4594860" cy="124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line="462" w:lineRule="auto"/>
        <w:rPr>
          <w:sz w:val="20"/>
          <w:szCs w:val="20"/>
          <w:color w:val="auto"/>
        </w:rPr>
      </w:pPr>
      <w:r>
        <w:rPr>
          <w:rFonts w:ascii="Arial" w:cs="Arial" w:eastAsia="Arial" w:hAnsi="Arial"/>
          <w:sz w:val="25"/>
          <w:szCs w:val="25"/>
          <w:b w:val="1"/>
          <w:bCs w:val="1"/>
          <w:color w:val="auto"/>
        </w:rPr>
        <w:t>VICTORIA’S SECRET &amp; CO. REPORTS SECOND QUARTER FINANCIAL RESULTS PROVIDES INITIAL THIRD QUARTER OUTLOOK</w:t>
      </w:r>
    </w:p>
    <w:p>
      <w:pPr>
        <w:spacing w:after="0" w:line="171" w:lineRule="exact"/>
        <w:rPr>
          <w:sz w:val="20"/>
          <w:szCs w:val="20"/>
          <w:color w:val="auto"/>
        </w:rPr>
      </w:pPr>
    </w:p>
    <w:p>
      <w:pPr>
        <w:jc w:val="both"/>
        <w:spacing w:after="0" w:line="233" w:lineRule="auto"/>
        <w:rPr>
          <w:sz w:val="20"/>
          <w:szCs w:val="20"/>
          <w:color w:val="auto"/>
        </w:rPr>
      </w:pPr>
      <w:r>
        <w:rPr>
          <w:rFonts w:ascii="Arial" w:cs="Arial" w:eastAsia="Arial" w:hAnsi="Arial"/>
          <w:sz w:val="22"/>
          <w:szCs w:val="22"/>
          <w:b w:val="1"/>
          <w:bCs w:val="1"/>
          <w:color w:val="auto"/>
        </w:rPr>
        <w:t>Reynoldsburg, Ohio (August 18, 2021)—</w:t>
      </w:r>
      <w:r>
        <w:rPr>
          <w:rFonts w:ascii="Arial" w:cs="Arial" w:eastAsia="Arial" w:hAnsi="Arial"/>
          <w:sz w:val="22"/>
          <w:szCs w:val="22"/>
          <w:color w:val="auto"/>
        </w:rPr>
        <w:t>Victoria’s Secret &amp; Co. (NYSE: VSCO) today reported financial results for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ended July 31, 2021. The results are on a carve-out basis and include the Victoria's Secret Segment and a portion of the unallocated overhead costs as part of L Brands.</w:t>
      </w:r>
    </w:p>
    <w:p>
      <w:pPr>
        <w:spacing w:after="0" w:line="20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The Company reported net income of $151.1 million, or earnings per share of $1.71 in the second quarter of 2021. This result compares to a net loss of $199.5 million, or loss per share of $2.26 and an adjusted net loss of $85.3 million, or adjusted loss per share of $0.97 for the period ended August 1, 2020.</w:t>
      </w:r>
    </w:p>
    <w:p>
      <w:pPr>
        <w:spacing w:after="0" w:line="201"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Second quarter 2021 operating income was $202.7 million compared to an operating loss of $243.3 million and an adjusted operating loss of $111.3 million in last year's second quarter. Second quarter 2021 operating income on a historical segment reporting basis as part of L Brands totaled $232.5 million, comparing favorably to previously communicated guidance of more than $200 million.</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Company reported net sales of $1.614 billion for the second quarter compared to net sales of $1.066 billion for last year's second quarter. Second quarter 2020 sales were negatively impacted by the closure of stores for the majority of the quarter due to the COVID-19 pandemic. Second quarter 2021 sales decreased 10 percent compared to sales of $1.785 billion in the second quarter of 2019 and reflect the net closure of 240 company-operated stores since the second quarter of 2019.</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Total comparable sales for the second quarter of 2021 increased 5 percent compared to the second quarter of 2019. Comparable store sales for the second quarter of 2021 decreased 3 percent compared to the second quarter of 2019. Second quarter 2021 sales in the direct channel were $468.8 million, a 24 percent decrease compared to 2020 and a 26 percent increase compared to 2019.</w:t>
      </w:r>
    </w:p>
    <w:p>
      <w:pPr>
        <w:spacing w:after="0" w:line="161"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CEO Martin Waters commented, “Following the finalization of the spin-off from L Brands, our momentum continues, fueled by strong fundamentals: inspiring merchandise she loves, our new brand positioning and disciplined business operations. With tighter inventory management and more emotionally appealing product, we are less promotional, resulting in significant margin increases. As a result, operating income in the second quarter exceeded expectations, helping us deliver our most profitable spring season in five years. Our vital signs are strong and, with our exceptional leadership and associate teams, I continue to be confident in our long-term growth in all channels.”</w:t>
      </w:r>
    </w:p>
    <w:p>
      <w:pPr>
        <w:sectPr>
          <w:pgSz w:w="11900" w:h="16838" w:orient="portrait"/>
          <w:cols w:equalWidth="0" w:num="1">
            <w:col w:w="11240"/>
          </w:cols>
          <w:pgMar w:left="320" w:top="771" w:right="339" w:bottom="1440" w:gutter="0" w:footer="0" w:header="0"/>
        </w:sectPr>
      </w:pPr>
    </w:p>
    <w:bookmarkStart w:id="4" w:name="page5"/>
    <w:bookmarkEnd w:id="4"/>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Initial Third Quarter 2021 Outlook</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The Company is forecasting third quarter 2021 sales to increase in the mid- to high-single digits versus last year's third quarter sales of $1.35 billion and earnings per share to be in the range of $0.60 and $0.70. Due to the continued uncertainty in the environment, the Company is not providing financial guidance for the fourth quarter.</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 xml:space="preserve">Victoria’s Secret &amp; Co. will conduct its second quarter earnings call at 9:30 a.m. Eastern on August 19. To listen, call 1-800-619-9066 (international dial-in number: 1-212-519-0836); conference ID 5358727. For an audio replay, call 1-866-516-0671 (international replay number: 1-203-369-2035); conference ID 175361 or log onto </w:t>
      </w:r>
      <w:r>
        <w:rPr>
          <w:rFonts w:ascii="Arial" w:cs="Arial" w:eastAsia="Arial" w:hAnsi="Arial"/>
          <w:sz w:val="19"/>
          <w:szCs w:val="19"/>
          <w:u w:val="single" w:color="auto"/>
          <w:color w:val="0E32E1"/>
        </w:rPr>
        <w:t>www.victoriassecretandco.com</w:t>
      </w:r>
      <w:r>
        <w:rPr>
          <w:rFonts w:ascii="Arial" w:cs="Arial" w:eastAsia="Arial" w:hAnsi="Arial"/>
          <w:sz w:val="19"/>
          <w:szCs w:val="19"/>
          <w:color w:val="auto"/>
        </w:rPr>
        <w:t>. The materials accompanying the earnings call have been posted on the investor relations section of the Company's website. The audio replay will be available approximately two hours after the conclusion of the call.</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Victoria's Secret</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22"/>
          <w:szCs w:val="22"/>
          <w:color w:val="auto"/>
        </w:rPr>
        <w:t>Victoria’s Secret is the world’s largest intimates specialty retailer offering a wide assortment of modern, fashion-inspired collections including signature bras, panties, lingerie, casual sleepwear and athleisure, as well as award-winning prestige fragrances and body care. With nearly 1,400 retail stores worldwide and a predominately female workforce of more than 25,000, Victoria’s Secret boasts the largest team of specialty trained bra fit experts worldwide. Victoria’s Secret is committed to inspiring women around the world with products and experiences that uplift and champion them and their journey while creating lifelong relationships and advocating for positive change.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 Under the Private Securities Litigation Reform Act of 1995</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We caution that any forward-looking statements (as such term is defined in the Private Securities Litigation Reform Act of 1995) contained in this press release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press release or otherwise made by our company or our management:</w:t>
      </w:r>
    </w:p>
    <w:p>
      <w:pPr>
        <w:spacing w:after="0" w:line="7" w:lineRule="exact"/>
        <w:rPr>
          <w:sz w:val="20"/>
          <w:szCs w:val="20"/>
          <w:color w:val="auto"/>
        </w:rPr>
      </w:pPr>
    </w:p>
    <w:p>
      <w:pPr>
        <w:ind w:left="660" w:right="20" w:hanging="328"/>
        <w:spacing w:after="0" w:line="219"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spin-off from Bath &amp; Body Works, Inc. (f/k/a L Brands, Inc.) may not be tax-free for U.S. federal income tax purposes;</w:t>
      </w:r>
    </w:p>
    <w:p>
      <w:pPr>
        <w:ind w:left="660" w:right="20" w:hanging="328"/>
        <w:spacing w:after="0" w:line="252" w:lineRule="auto"/>
        <w:tabs>
          <w:tab w:leader="none" w:pos="655" w:val="left"/>
        </w:tabs>
        <w:numPr>
          <w:ilvl w:val="0"/>
          <w:numId w:val="2"/>
        </w:numPr>
        <w:rPr>
          <w:rFonts w:ascii="Arial" w:cs="Arial" w:eastAsia="Arial" w:hAnsi="Arial"/>
          <w:sz w:val="19"/>
          <w:szCs w:val="19"/>
          <w:color w:val="auto"/>
        </w:rPr>
      </w:pPr>
      <w:r>
        <w:rPr>
          <w:rFonts w:ascii="Arial" w:cs="Arial" w:eastAsia="Arial" w:hAnsi="Arial"/>
          <w:sz w:val="19"/>
          <w:szCs w:val="19"/>
          <w:color w:val="auto"/>
        </w:rPr>
        <w:t>a loss of synergies from separating the businesses that could negatively impact the balance sheet, profit margins or earnings of Victoria’s Secret or that Victoria’s Secret does not realize all of the expected benefits of the spin-off;</w:t>
      </w:r>
    </w:p>
    <w:p>
      <w:pPr>
        <w:jc w:val="both"/>
        <w:ind w:left="660" w:hanging="328"/>
        <w:spacing w:after="0" w:line="226"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general economic conditions,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ectPr>
          <w:pgSz w:w="11900" w:h="16838" w:orient="portrait"/>
          <w:cols w:equalWidth="0" w:num="1">
            <w:col w:w="11240"/>
          </w:cols>
          <w:pgMar w:left="320" w:top="1440" w:right="339" w:bottom="1440" w:gutter="0" w:footer="0" w:header="0"/>
        </w:sectPr>
      </w:pPr>
    </w:p>
    <w:bookmarkStart w:id="5" w:name="page6"/>
    <w:bookmarkEnd w:id="5"/>
    <w:p>
      <w:pPr>
        <w:ind w:left="328" w:hanging="328"/>
        <w:spacing w:after="0" w:line="226"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novel coronavirus (COVID-19) global pandemic has had and is expected to continue to have an adverse effect on our business and results of operations;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seasonality of our business;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divestitures or other dispositions and related operations and contingent liabilities from such businesses;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difficulties arising from turnover in company leadership or other key positions;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attract, develop and retain qualified associates and manage labor-related costs;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dependence on mall traffic and the availability of suitable store locations on appropriate terms;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grow through new store openings and existing store remodels and expansions;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successfully operate and expand internationally and related risks;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independent franchise, license and wholesale partners;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direct channel businesses;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protect our reputation and our brand images;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attract customers with marketing, advertising and promotional programs;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enforce and protect our trade names, trademarks and patents;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highly competitive nature of the retail industry and the segments in which we operate;</w:t>
      </w:r>
    </w:p>
    <w:p>
      <w:pPr>
        <w:ind w:left="328" w:hanging="328"/>
        <w:spacing w:after="0" w:line="217"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consumer acceptance of our products and our ability to manage the life cycle of our brands, keep up with fashion trends, develop new merchandise and launch new product lines successfully;</w:t>
      </w:r>
    </w:p>
    <w:p>
      <w:pPr>
        <w:spacing w:after="0" w:line="1" w:lineRule="exact"/>
        <w:rPr>
          <w:rFonts w:ascii="Arial" w:cs="Arial" w:eastAsia="Arial" w:hAnsi="Arial"/>
          <w:sz w:val="22"/>
          <w:szCs w:val="22"/>
          <w:color w:val="auto"/>
        </w:rPr>
      </w:pP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source, distribute and sell goods and materials on a global basis, including risks related to:</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political instability, environmental hazards or natural disasters;</w:t>
      </w:r>
    </w:p>
    <w:p>
      <w:pPr>
        <w:ind w:left="968" w:right="20" w:hanging="320"/>
        <w:spacing w:after="0" w:line="217" w:lineRule="auto"/>
        <w:tabs>
          <w:tab w:leader="none" w:pos="977" w:val="left"/>
        </w:tabs>
        <w:numPr>
          <w:ilvl w:val="1"/>
          <w:numId w:val="3"/>
        </w:numPr>
        <w:rPr>
          <w:rFonts w:ascii="Arial" w:cs="Arial" w:eastAsia="Arial" w:hAnsi="Arial"/>
          <w:sz w:val="22"/>
          <w:szCs w:val="22"/>
          <w:color w:val="auto"/>
        </w:rPr>
      </w:pPr>
      <w:r>
        <w:rPr>
          <w:rFonts w:ascii="Arial" w:cs="Arial" w:eastAsia="Arial" w:hAnsi="Arial"/>
          <w:sz w:val="22"/>
          <w:szCs w:val="22"/>
          <w:color w:val="auto"/>
        </w:rPr>
        <w:t>significant health hazards or pandemics, which could result in closed factories, reduced workforces, scarcity of raw materials, and scrutiny or embargoing of goods produced in infected areas;</w:t>
      </w:r>
    </w:p>
    <w:p>
      <w:pPr>
        <w:spacing w:after="0" w:line="1" w:lineRule="exact"/>
        <w:rPr>
          <w:rFonts w:ascii="Arial" w:cs="Arial" w:eastAsia="Arial" w:hAnsi="Arial"/>
          <w:sz w:val="22"/>
          <w:szCs w:val="22"/>
          <w:color w:val="auto"/>
        </w:rPr>
      </w:pP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duties, taxes and other charges;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legal and regulatory matters;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volatility in currency exchange rates;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local business practices and political issues;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potential delays or disruptions in shipping and transportation and related pricing impacts;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disruption due to labor disputes; and</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changing expectations regarding product safety due to new legislation;</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geographic concentration of vendor and distribution facilities in central Ohio;</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foreign currency exchange rates;</w:t>
      </w:r>
    </w:p>
    <w:p>
      <w:pPr>
        <w:ind w:left="328" w:hanging="328"/>
        <w:spacing w:after="0" w:line="217"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ability of our vendors to deliver products in a timely manner, meet quality standards and comply with applicable laws and regulations;</w:t>
      </w:r>
    </w:p>
    <w:p>
      <w:pPr>
        <w:spacing w:after="0" w:line="1" w:lineRule="exact"/>
        <w:rPr>
          <w:rFonts w:ascii="Arial" w:cs="Arial" w:eastAsia="Arial" w:hAnsi="Arial"/>
          <w:sz w:val="22"/>
          <w:szCs w:val="22"/>
          <w:color w:val="auto"/>
        </w:rPr>
      </w:pP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product input costs;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adequately protect our assets from loss and theft;</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energy costs;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increases in the costs of mailing, paper, printing or other order fulfillment logistics;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claims arising from our self-insurance;</w:t>
      </w:r>
    </w:p>
    <w:p>
      <w:pPr>
        <w:ind w:left="328" w:right="20" w:hanging="328"/>
        <w:spacing w:after="0" w:line="217"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and our third-party service providers' ability to implement and maintain information technology systems and to protect associated data;</w:t>
      </w:r>
    </w:p>
    <w:p>
      <w:pPr>
        <w:spacing w:after="0" w:line="1" w:lineRule="exact"/>
        <w:rPr>
          <w:rFonts w:ascii="Arial" w:cs="Arial" w:eastAsia="Arial" w:hAnsi="Arial"/>
          <w:sz w:val="22"/>
          <w:szCs w:val="22"/>
          <w:color w:val="auto"/>
        </w:rPr>
      </w:pP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the security of customer, associate, third-party and company information;</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stock price volatility;</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pay dividends and related effects;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shareholder activism matters;</w:t>
      </w:r>
    </w:p>
    <w:p>
      <w:pPr>
        <w:ind w:left="328" w:hanging="328"/>
        <w:spacing w:after="0"/>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our credit rating;</w:t>
      </w:r>
    </w:p>
    <w:p>
      <w:pPr>
        <w:sectPr>
          <w:pgSz w:w="11900" w:h="16838" w:orient="portrait"/>
          <w:cols w:equalWidth="0" w:num="1">
            <w:col w:w="10908"/>
          </w:cols>
          <w:pgMar w:left="652" w:top="766" w:right="339" w:bottom="1440" w:gutter="0" w:footer="0" w:header="0"/>
        </w:sectPr>
      </w:pPr>
    </w:p>
    <w:bookmarkStart w:id="6" w:name="page7"/>
    <w:bookmarkEnd w:id="6"/>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service or refinance our debt and maintain compliance with our restrictive covenants;</w:t>
      </w:r>
    </w:p>
    <w:p>
      <w:pPr>
        <w:ind w:left="660" w:hanging="328"/>
        <w:spacing w:after="0" w:line="21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comply with laws, regulations and technology platform rules or other obligations related to data privacy and security;</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comply with regulatory requirements;</w:t>
      </w:r>
    </w:p>
    <w:p>
      <w:pPr>
        <w:ind w:left="660" w:hanging="328"/>
        <w:spacing w:after="0" w:line="217"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legal and compliance matters; and</w:t>
      </w: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tax, trade and other regulatory matters.</w:t>
      </w:r>
    </w:p>
    <w:p>
      <w:pPr>
        <w:spacing w:after="0" w:line="202"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We are not under any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More information on potential factors that could affect Victoria’s Secret results is included in Victoria’s Secret Registration Statement on Form 10 filed with the Securities and Exchange Commission.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60" w:type="dxa"/>
            <w:vAlign w:val="bottom"/>
            <w:gridSpan w:val="3"/>
          </w:tcPr>
          <w:p>
            <w:pPr>
              <w:spacing w:after="0"/>
              <w:rPr>
                <w:sz w:val="20"/>
                <w:szCs w:val="20"/>
                <w:color w:val="auto"/>
              </w:rPr>
            </w:pPr>
            <w:r>
              <w:rPr>
                <w:rFonts w:ascii="Arial" w:cs="Arial" w:eastAsia="Arial" w:hAnsi="Arial"/>
                <w:sz w:val="22"/>
                <w:szCs w:val="22"/>
                <w:color w:val="auto"/>
              </w:rPr>
              <w:t>For further information, please contact:</w:t>
            </w:r>
          </w:p>
        </w:tc>
        <w:tc>
          <w:tcPr>
            <w:tcW w:w="10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513"/>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Victoria's Secret &amp; Co.:</w:t>
            </w:r>
          </w:p>
        </w:tc>
        <w:tc>
          <w:tcPr>
            <w:tcW w:w="10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536"/>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Investor Relations:</w:t>
            </w:r>
          </w:p>
        </w:tc>
        <w:tc>
          <w:tcPr>
            <w:tcW w:w="3820" w:type="dxa"/>
            <w:vAlign w:val="bottom"/>
            <w:gridSpan w:val="2"/>
          </w:tcPr>
          <w:p>
            <w:pPr>
              <w:ind w:left="1060"/>
              <w:spacing w:after="0"/>
              <w:rPr>
                <w:sz w:val="20"/>
                <w:szCs w:val="20"/>
                <w:color w:val="auto"/>
              </w:rPr>
            </w:pPr>
            <w:r>
              <w:rPr>
                <w:rFonts w:ascii="Arial" w:cs="Arial" w:eastAsia="Arial" w:hAnsi="Arial"/>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Arial" w:cs="Arial" w:eastAsia="Arial" w:hAnsi="Arial"/>
                <w:sz w:val="22"/>
                <w:szCs w:val="22"/>
                <w:color w:val="auto"/>
              </w:rPr>
              <w:t>Jason Ware</w:t>
            </w:r>
          </w:p>
        </w:tc>
        <w:tc>
          <w:tcPr>
            <w:tcW w:w="3820" w:type="dxa"/>
            <w:vAlign w:val="bottom"/>
            <w:gridSpan w:val="2"/>
          </w:tcPr>
          <w:p>
            <w:pPr>
              <w:ind w:left="1060"/>
              <w:spacing w:after="0"/>
              <w:rPr>
                <w:sz w:val="20"/>
                <w:szCs w:val="20"/>
                <w:color w:val="auto"/>
              </w:rPr>
            </w:pPr>
            <w:r>
              <w:rPr>
                <w:rFonts w:ascii="Arial" w:cs="Arial" w:eastAsia="Arial" w:hAnsi="Arial"/>
                <w:sz w:val="22"/>
                <w:szCs w:val="22"/>
                <w:color w:val="auto"/>
              </w:rPr>
              <w:t>Brooke Wilson</w:t>
            </w:r>
          </w:p>
        </w:tc>
      </w:tr>
      <w:tr>
        <w:trPr>
          <w:trHeight w:val="224"/>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6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Communications@victoria.com</w:t>
            </w:r>
          </w:p>
        </w:tc>
      </w:tr>
    </w:tbl>
    <w:p>
      <w:pPr>
        <w:sectPr>
          <w:pgSz w:w="11900" w:h="16838" w:orient="portrait"/>
          <w:cols w:equalWidth="0" w:num="1">
            <w:col w:w="11240"/>
          </w:cols>
          <w:pgMar w:left="320" w:top="7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2021</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Sales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Second</w:t>
            </w:r>
          </w:p>
        </w:tc>
        <w:tc>
          <w:tcPr>
            <w:tcW w:w="2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Second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Second</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Second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14"/>
        </w:trPr>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Quarter</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Inc/</w:t>
            </w: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6"/>
              </w:rPr>
              <w:t>Inc/</w:t>
            </w:r>
          </w:p>
        </w:tc>
      </w:tr>
      <w:tr>
        <w:trPr>
          <w:trHeight w:val="229"/>
        </w:trPr>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w:t>
            </w:r>
          </w:p>
        </w:tc>
        <w:tc>
          <w:tcPr>
            <w:tcW w:w="220" w:type="dxa"/>
            <w:vAlign w:val="bottom"/>
          </w:tcPr>
          <w:p>
            <w:pPr>
              <w:spacing w:after="0"/>
              <w:rPr>
                <w:sz w:val="19"/>
                <w:szCs w:val="19"/>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(Dec)</w:t>
            </w:r>
          </w:p>
        </w:tc>
      </w:tr>
      <w:tr>
        <w:trPr>
          <w:trHeight w:val="223"/>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1,232.6</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Direct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(23.6 %)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25.7 %</w:t>
            </w:r>
          </w:p>
        </w:tc>
      </w:tr>
      <w:tr>
        <w:trPr>
          <w:trHeight w:val="230"/>
        </w:trPr>
        <w:tc>
          <w:tcPr>
            <w:tcW w:w="2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(39.6 %)</w:t>
            </w: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1,066.3</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1,784.7</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(9.6 %)</w:t>
            </w:r>
          </w:p>
        </w:tc>
      </w:tr>
      <w:tr>
        <w:trPr>
          <w:trHeight w:val="21"/>
        </w:trPr>
        <w:tc>
          <w:tcPr>
            <w:tcW w:w="2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60" w:hanging="112"/>
        <w:spacing w:after="0"/>
        <w:tabs>
          <w:tab w:leader="none" w:pos="16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 Results include Greater China, royalties associated with franchised stores, wholesale sales and company-operated stores in the U.K. (pre-joint venture).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Total Sales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Year-to-Date</w:t>
            </w:r>
          </w:p>
        </w:tc>
        <w:tc>
          <w:tcPr>
            <w:tcW w:w="140" w:type="dxa"/>
            <w:vAlign w:val="bottom"/>
          </w:tcPr>
          <w:p>
            <w:pPr>
              <w:spacing w:after="0"/>
              <w:rPr>
                <w:sz w:val="17"/>
                <w:szCs w:val="17"/>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Year-to-Date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Year-to-Date</w:t>
            </w:r>
          </w:p>
        </w:tc>
        <w:tc>
          <w:tcPr>
            <w:tcW w:w="120" w:type="dxa"/>
            <w:vAlign w:val="bottom"/>
          </w:tcPr>
          <w:p>
            <w:pPr>
              <w:spacing w:after="0"/>
              <w:rPr>
                <w:sz w:val="17"/>
                <w:szCs w:val="17"/>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Year-to-Date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6"/>
              </w:rPr>
              <w:t>Inc/</w:t>
            </w: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6"/>
              </w:rPr>
              <w:t>Inc/</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(Dec)</w:t>
            </w:r>
          </w:p>
        </w:tc>
        <w:tc>
          <w:tcPr>
            <w:tcW w:w="140" w:type="dxa"/>
            <w:vAlign w:val="bottom"/>
          </w:tcPr>
          <w:p>
            <w:pPr>
              <w:spacing w:after="0"/>
              <w:rPr>
                <w:sz w:val="19"/>
                <w:szCs w:val="19"/>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(Dec)</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2,381.3</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Direct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921.5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735.2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29.7 %</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1,959.9</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61.6 %</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3,455.1</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160" w:hanging="112"/>
        <w:spacing w:after="0"/>
        <w:tabs>
          <w:tab w:leader="none" w:pos="16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 Results include Greater China, royalties associated with franchised stores, wholesale sales, and company-operated stores in the U.K. (pre-joint venture).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Comparable Sales Increase (Decrease):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Second</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Second</w:t>
            </w:r>
          </w:p>
        </w:tc>
        <w:tc>
          <w:tcPr>
            <w:tcW w:w="14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Year-to-Date</w:t>
            </w:r>
          </w:p>
        </w:tc>
        <w:tc>
          <w:tcPr>
            <w:tcW w:w="13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Year-to-Date</w:t>
            </w:r>
          </w:p>
        </w:tc>
        <w:tc>
          <w:tcPr>
            <w:tcW w:w="0" w:type="dxa"/>
            <w:vAlign w:val="bottom"/>
          </w:tcPr>
          <w:p>
            <w:pPr>
              <w:spacing w:after="0"/>
              <w:rPr>
                <w:sz w:val="1"/>
                <w:szCs w:val="1"/>
                <w:color w:val="auto"/>
              </w:rPr>
            </w:pPr>
          </w:p>
        </w:tc>
      </w:tr>
      <w:tr>
        <w:trPr>
          <w:trHeight w:val="225"/>
        </w:trPr>
        <w:tc>
          <w:tcPr>
            <w:tcW w:w="5600" w:type="dxa"/>
            <w:vAlign w:val="bottom"/>
          </w:tcPr>
          <w:p>
            <w:pPr>
              <w:spacing w:after="0"/>
              <w:rPr>
                <w:sz w:val="19"/>
                <w:szCs w:val="19"/>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144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Stores and Direct</w:t>
            </w:r>
            <w:r>
              <w:rPr>
                <w:rFonts w:ascii="Arial" w:cs="Arial" w:eastAsia="Arial" w:hAnsi="Arial"/>
                <w:sz w:val="23"/>
                <w:szCs w:val="23"/>
                <w:color w:val="auto"/>
                <w:vertAlign w:val="superscript"/>
              </w:rPr>
              <w:t>1</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312"/>
        </w:trPr>
        <w:tc>
          <w:tcPr>
            <w:tcW w:w="5600" w:type="dxa"/>
            <w:vAlign w:val="bottom"/>
          </w:tcPr>
          <w:p>
            <w:pPr>
              <w:ind w:left="20"/>
              <w:spacing w:after="0"/>
              <w:rPr>
                <w:sz w:val="20"/>
                <w:szCs w:val="20"/>
                <w:color w:val="auto"/>
              </w:rPr>
            </w:pPr>
            <w:r>
              <w:rPr>
                <w:rFonts w:ascii="Arial" w:cs="Arial" w:eastAsia="Arial" w:hAnsi="Arial"/>
                <w:sz w:val="18"/>
                <w:szCs w:val="18"/>
                <w:color w:val="auto"/>
              </w:rPr>
              <w:t>Stores Only</w:t>
            </w:r>
            <w:r>
              <w:rPr>
                <w:rFonts w:ascii="Arial" w:cs="Arial" w:eastAsia="Arial" w:hAnsi="Arial"/>
                <w:sz w:val="23"/>
                <w:szCs w:val="23"/>
                <w:color w:val="auto"/>
                <w:vertAlign w:val="superscript"/>
              </w:rPr>
              <w:t>2</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(12%)</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212529"/>
        </w:rPr>
        <w:t>Stores are excluded from the comparable sales calculation when they have been closed for four consecutive days or more. Therefore, comparable</w:t>
      </w:r>
      <w:r>
        <w:rPr>
          <w:rFonts w:ascii="Arial" w:cs="Arial" w:eastAsia="Arial" w:hAnsi="Arial"/>
          <w:sz w:val="18"/>
          <w:szCs w:val="18"/>
          <w:b w:val="1"/>
          <w:bCs w:val="1"/>
          <w:color w:val="auto"/>
        </w:rPr>
        <w:t xml:space="preserve"> </w:t>
      </w:r>
      <w:r>
        <w:rPr>
          <w:rFonts w:ascii="Arial" w:cs="Arial" w:eastAsia="Arial" w:hAnsi="Arial"/>
          <w:sz w:val="18"/>
          <w:szCs w:val="18"/>
          <w:color w:val="212529"/>
        </w:rPr>
        <w:t>sales results exclude periods of time that stores were closed for four consecutive days or more as a result of the COVID-19 pandemic. Refer to Victoria's Secret &amp; Co.'s Registration Statement on Form 10 filed with the Securities Exchange Commission for further discussion regarding our comparable sales calculation.</w:t>
      </w:r>
    </w:p>
    <w:p>
      <w:pPr>
        <w:ind w:left="120" w:hanging="112"/>
        <w:spacing w:after="0" w:line="195" w:lineRule="auto"/>
        <w:tabs>
          <w:tab w:leader="none" w:pos="1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 Results include company-operated stores in the U.S., Canada, the U.K. (pre-joint venture) and Greater China and direct sales.</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 Results include company-operated stores in the U.S., Canada, the U.K. (pre-joint venture) and Greater China.</w:t>
      </w:r>
    </w:p>
    <w:p>
      <w:pPr>
        <w:sectPr>
          <w:pgSz w:w="11900" w:h="16838" w:orient="portrait"/>
          <w:cols w:equalWidth="0" w:num="1">
            <w:col w:w="11240"/>
          </w:cols>
          <w:pgMar w:left="320" w:top="774"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Total Company-Operated Stores: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1160" w:type="dxa"/>
            <w:vAlign w:val="bottom"/>
          </w:tcPr>
          <w:p>
            <w:pPr>
              <w:ind w:left="440"/>
              <w:spacing w:after="0"/>
              <w:rPr>
                <w:sz w:val="20"/>
                <w:szCs w:val="20"/>
                <w:color w:val="auto"/>
              </w:rPr>
            </w:pPr>
            <w:r>
              <w:rPr>
                <w:rFonts w:ascii="Arial" w:cs="Arial" w:eastAsia="Arial" w:hAnsi="Arial"/>
                <w:sz w:val="18"/>
                <w:szCs w:val="18"/>
                <w:b w:val="1"/>
                <w:bCs w:val="1"/>
                <w:color w:val="auto"/>
                <w:w w:val="90"/>
              </w:rPr>
              <w:t>Stores at</w:t>
            </w:r>
          </w:p>
        </w:tc>
        <w:tc>
          <w:tcPr>
            <w:tcW w:w="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Stores at</w:t>
            </w:r>
          </w:p>
        </w:tc>
      </w:tr>
      <w:tr>
        <w:trPr>
          <w:trHeight w:val="234"/>
        </w:trPr>
        <w:tc>
          <w:tcPr>
            <w:tcW w:w="6240" w:type="dxa"/>
            <w:vAlign w:val="bottom"/>
            <w:gridSpan w:val="2"/>
          </w:tcPr>
          <w:p>
            <w:pPr>
              <w:ind w:left="5580"/>
              <w:spacing w:after="0"/>
              <w:rPr>
                <w:sz w:val="20"/>
                <w:szCs w:val="20"/>
                <w:color w:val="auto"/>
              </w:rPr>
            </w:pPr>
            <w:r>
              <w:rPr>
                <w:rFonts w:ascii="Arial" w:cs="Arial" w:eastAsia="Arial" w:hAnsi="Arial"/>
                <w:sz w:val="18"/>
                <w:szCs w:val="18"/>
                <w:b w:val="1"/>
                <w:bCs w:val="1"/>
                <w:color w:val="auto"/>
              </w:rPr>
              <w:t>1/30/21</w:t>
            </w:r>
          </w:p>
        </w:tc>
        <w:tc>
          <w:tcPr>
            <w:tcW w:w="580" w:type="dxa"/>
            <w:vAlign w:val="bottom"/>
          </w:tcPr>
          <w:p>
            <w:pPr>
              <w:spacing w:after="0"/>
              <w:rPr>
                <w:sz w:val="20"/>
                <w:szCs w:val="20"/>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Opened</w:t>
            </w:r>
          </w:p>
        </w:tc>
        <w:tc>
          <w:tcPr>
            <w:tcW w:w="1520" w:type="dxa"/>
            <w:vAlign w:val="bottom"/>
          </w:tcPr>
          <w:p>
            <w:pPr>
              <w:ind w:left="300"/>
              <w:spacing w:after="0"/>
              <w:rPr>
                <w:sz w:val="20"/>
                <w:szCs w:val="20"/>
                <w:color w:val="auto"/>
              </w:rPr>
            </w:pPr>
            <w:r>
              <w:rPr>
                <w:rFonts w:ascii="Arial" w:cs="Arial" w:eastAsia="Arial" w:hAnsi="Arial"/>
                <w:sz w:val="18"/>
                <w:szCs w:val="18"/>
                <w:b w:val="1"/>
                <w:bCs w:val="1"/>
                <w:color w:val="auto"/>
              </w:rPr>
              <w:t>Closed</w:t>
            </w: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7/31/21</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1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846</w:t>
            </w:r>
          </w:p>
        </w:tc>
        <w:tc>
          <w:tcPr>
            <w:tcW w:w="15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(8)</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25</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15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China - Beauty and Accessories</w:t>
            </w:r>
          </w:p>
        </w:tc>
        <w:tc>
          <w:tcPr>
            <w:tcW w:w="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15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Greater China - Full Assortment</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26</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933</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w:t>
            </w:r>
          </w:p>
        </w:tc>
        <w:tc>
          <w:tcPr>
            <w:tcW w:w="15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Partner-Operated Stores: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1160" w:type="dxa"/>
            <w:vAlign w:val="bottom"/>
          </w:tcPr>
          <w:p>
            <w:pPr>
              <w:jc w:val="center"/>
              <w:ind w:left="290"/>
              <w:spacing w:after="0"/>
              <w:rPr>
                <w:sz w:val="20"/>
                <w:szCs w:val="20"/>
                <w:color w:val="auto"/>
              </w:rPr>
            </w:pPr>
            <w:r>
              <w:rPr>
                <w:rFonts w:ascii="Arial" w:cs="Arial" w:eastAsia="Arial" w:hAnsi="Arial"/>
                <w:sz w:val="18"/>
                <w:szCs w:val="18"/>
                <w:b w:val="1"/>
                <w:bCs w:val="1"/>
                <w:color w:val="auto"/>
                <w:w w:val="85"/>
              </w:rPr>
              <w:t>Stores at</w:t>
            </w:r>
          </w:p>
        </w:tc>
        <w:tc>
          <w:tcPr>
            <w:tcW w:w="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Stores at</w:t>
            </w:r>
          </w:p>
        </w:tc>
      </w:tr>
      <w:tr>
        <w:trPr>
          <w:trHeight w:val="234"/>
        </w:trPr>
        <w:tc>
          <w:tcPr>
            <w:tcW w:w="6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1/30/21</w:t>
            </w:r>
          </w:p>
        </w:tc>
        <w:tc>
          <w:tcPr>
            <w:tcW w:w="580" w:type="dxa"/>
            <w:vAlign w:val="bottom"/>
          </w:tcPr>
          <w:p>
            <w:pPr>
              <w:spacing w:after="0"/>
              <w:rPr>
                <w:sz w:val="20"/>
                <w:szCs w:val="20"/>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Opened</w:t>
            </w:r>
          </w:p>
        </w:tc>
        <w:tc>
          <w:tcPr>
            <w:tcW w:w="1520" w:type="dxa"/>
            <w:vAlign w:val="bottom"/>
          </w:tcPr>
          <w:p>
            <w:pPr>
              <w:ind w:left="300"/>
              <w:spacing w:after="0"/>
              <w:rPr>
                <w:sz w:val="20"/>
                <w:szCs w:val="20"/>
                <w:color w:val="auto"/>
              </w:rPr>
            </w:pPr>
            <w:r>
              <w:rPr>
                <w:rFonts w:ascii="Arial" w:cs="Arial" w:eastAsia="Arial" w:hAnsi="Arial"/>
                <w:sz w:val="18"/>
                <w:szCs w:val="18"/>
                <w:b w:val="1"/>
                <w:bCs w:val="1"/>
                <w:color w:val="auto"/>
              </w:rPr>
              <w:t>Closed</w:t>
            </w: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7/31/21</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Beauty &amp; Accessories</w:t>
            </w:r>
          </w:p>
        </w:tc>
        <w:tc>
          <w:tcPr>
            <w:tcW w:w="11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338</w:t>
            </w:r>
          </w:p>
        </w:tc>
        <w:tc>
          <w:tcPr>
            <w:tcW w:w="15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c>
          <w:tcPr>
            <w:tcW w:w="15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(6)</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Full Assortment</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120</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w:t>
            </w:r>
          </w:p>
        </w:tc>
        <w:tc>
          <w:tcPr>
            <w:tcW w:w="15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458</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w:t>
            </w:r>
          </w:p>
        </w:tc>
        <w:tc>
          <w:tcPr>
            <w:tcW w:w="15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74"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rPr>
              <w:t>VICTORIA'S SECRET &amp; CO.</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w w:val="99"/>
              </w:rPr>
              <w:t>COMBINED STATEMENTS OF INCOME (LOSS)</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7"/>
              </w:rPr>
              <w:t>THIRTEEN WEEKS ENDED JULY 31, 2021 AND AUGUST 1, 2020</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91"/>
              </w:rPr>
              <w:t>(Unaudited)</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560" w:type="dxa"/>
            <w:vAlign w:val="bottom"/>
          </w:tcPr>
          <w:p>
            <w:pPr>
              <w:spacing w:after="0"/>
              <w:rPr>
                <w:sz w:val="20"/>
                <w:szCs w:val="20"/>
                <w:color w:val="auto"/>
              </w:rPr>
            </w:pPr>
          </w:p>
        </w:tc>
        <w:tc>
          <w:tcPr>
            <w:tcW w:w="11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1,613,847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1,066,334</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(944,261)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(913,720)</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152,614</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Store Operating Expenses</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(466,855)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(395,951)</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(243,337)</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199,012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(244,749)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(45,222)</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151,084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(199,527)</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Income (Loss) Per Diluted Share</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Weighted Average Shares Outstanding</w:t>
            </w:r>
            <w:r>
              <w:rPr>
                <w:rFonts w:ascii="Arial" w:cs="Arial" w:eastAsia="Arial" w:hAnsi="Arial"/>
                <w:sz w:val="23"/>
                <w:szCs w:val="23"/>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88,303</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20" w:firstLine="8"/>
        <w:spacing w:after="0" w:line="227" w:lineRule="auto"/>
        <w:tabs>
          <w:tab w:leader="none" w:pos="103"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 Reported Weighted Average Shares Outstanding reflects basic shares at the separation date. This share amount is being utilized for the calculation of basic and diluted net income (loss) per share for periods presented through the separation date.</w:t>
      </w:r>
    </w:p>
    <w:p>
      <w:pPr>
        <w:sectPr>
          <w:pgSz w:w="11900" w:h="16838" w:orient="portrait"/>
          <w:cols w:equalWidth="0" w:num="1">
            <w:col w:w="11240"/>
          </w:cols>
          <w:pgMar w:left="320" w:top="90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9"/>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rPr>
              <w:t>VICTORIA'S SECRET &amp; CO.</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w w:val="99"/>
              </w:rPr>
              <w:t>COMBINED STATEMENTS OF INCOME (LOSS)</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gridSpan w:val="2"/>
          </w:tcPr>
          <w:p>
            <w:pPr>
              <w:jc w:val="center"/>
              <w:ind w:left="2730"/>
              <w:spacing w:after="0"/>
              <w:rPr>
                <w:sz w:val="20"/>
                <w:szCs w:val="20"/>
                <w:color w:val="auto"/>
              </w:rPr>
            </w:pPr>
            <w:r>
              <w:rPr>
                <w:rFonts w:ascii="Arial" w:cs="Arial" w:eastAsia="Arial" w:hAnsi="Arial"/>
                <w:sz w:val="18"/>
                <w:szCs w:val="18"/>
                <w:b w:val="1"/>
                <w:bCs w:val="1"/>
                <w:color w:val="auto"/>
                <w:w w:val="97"/>
              </w:rPr>
              <w:t>TWENTY-SIX WEEKS ENDED JULY 31, 2021 AND AUGUST 1, 2020</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91"/>
              </w:rPr>
              <w:t>(Unaudited)</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620" w:type="dxa"/>
            <w:vAlign w:val="bottom"/>
          </w:tcPr>
          <w:p>
            <w:pPr>
              <w:spacing w:after="0"/>
              <w:rPr>
                <w:sz w:val="20"/>
                <w:szCs w:val="20"/>
                <w:color w:val="auto"/>
              </w:rPr>
            </w:pPr>
          </w:p>
        </w:tc>
        <w:tc>
          <w:tcPr>
            <w:tcW w:w="104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3,168,067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1,959,941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(1,826,341)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(1,786,566)</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173,375</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Store Operating Expenses</w:t>
            </w: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(913,309)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(790,108)</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(616,733)</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423,577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(621,755)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(123,684)</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325,115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(498,071)</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Net Income (Loss) Per Diluted Share</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Weighted Average Shares Outstanding</w:t>
            </w:r>
            <w:r>
              <w:rPr>
                <w:rFonts w:ascii="Arial" w:cs="Arial" w:eastAsia="Arial" w:hAnsi="Arial"/>
                <w:sz w:val="23"/>
                <w:szCs w:val="23"/>
                <w:color w:val="auto"/>
                <w:vertAlign w:val="superscript"/>
              </w:rPr>
              <w:t>1</w:t>
            </w: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88,303</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20" w:firstLine="8"/>
        <w:spacing w:after="0" w:line="227" w:lineRule="auto"/>
        <w:tabs>
          <w:tab w:leader="none" w:pos="103"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 Reported Weighted Average Shares Outstanding reflects basic shares at the separation date. This share amount is being utilized for the calculation of basic and diluted net income (loss) per share for periods presented through the separation date.</w:t>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FINANCIAL INFORMATION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92" w:lineRule="exact"/>
        <w:rPr>
          <w:sz w:val="20"/>
          <w:szCs w:val="20"/>
          <w:color w:val="auto"/>
        </w:rPr>
      </w:pPr>
    </w:p>
    <w:p>
      <w:pPr>
        <w:ind w:left="20" w:right="60"/>
        <w:spacing w:after="0" w:line="255" w:lineRule="auto"/>
        <w:rPr>
          <w:sz w:val="20"/>
          <w:szCs w:val="20"/>
          <w:color w:val="auto"/>
        </w:rPr>
      </w:pPr>
      <w:r>
        <w:rPr>
          <w:rFonts w:ascii="Arial" w:cs="Arial" w:eastAsia="Arial" w:hAnsi="Arial"/>
          <w:sz w:val="16"/>
          <w:szCs w:val="16"/>
          <w:i w:val="1"/>
          <w:iCs w:val="1"/>
          <w:color w:val="auto"/>
        </w:rPr>
        <w:t>The Adjusted Financial Information should not be construed as an alternative to the reported results determined in accordance with generally accepted accounting principles. Further, the Company's definition of adjusted income information may differ from similarly titled measures used by other companies. Management believes that the presentation of adjusted financial information provides additional information to investors to facilitate the comparison of past and present operations. While it is not possible to predict future results, management believes the adjusted information is useful for the assessment of the ongoing operations of the Company because the adjusted items are not indicative of our ongoing operations due to their size and nature. Additionally, management uses adjusted financial information as key performance measures of results of operations for the purpose of evaluating performance internally. The Adjusted Financial Information should be read in conjunction with the Company's historical financial statements and notes thereto contained in the Company's Registration Statement on Form 10 filed with the Securities and Exchange Commission.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7"/>
          </w:tcPr>
          <w:p>
            <w:pPr>
              <w:ind w:left="380"/>
              <w:spacing w:after="0"/>
              <w:rPr>
                <w:sz w:val="20"/>
                <w:szCs w:val="20"/>
                <w:color w:val="auto"/>
              </w:rPr>
            </w:pPr>
            <w:r>
              <w:rPr>
                <w:rFonts w:ascii="Arial" w:cs="Arial" w:eastAsia="Arial" w:hAnsi="Arial"/>
                <w:sz w:val="18"/>
                <w:szCs w:val="18"/>
                <w:b w:val="1"/>
                <w:bCs w:val="1"/>
                <w:color w:val="auto"/>
              </w:rPr>
              <w:t>Second Quarter</w:t>
            </w:r>
          </w:p>
        </w:tc>
        <w:tc>
          <w:tcPr>
            <w:tcW w:w="280" w:type="dxa"/>
            <w:vAlign w:val="bottom"/>
          </w:tcPr>
          <w:p>
            <w:pPr>
              <w:spacing w:after="0"/>
              <w:rPr>
                <w:sz w:val="20"/>
                <w:szCs w:val="20"/>
                <w:color w:val="auto"/>
              </w:rPr>
            </w:pPr>
          </w:p>
        </w:tc>
        <w:tc>
          <w:tcPr>
            <w:tcW w:w="22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Year-to-Date</w:t>
            </w:r>
          </w:p>
        </w:tc>
      </w:tr>
      <w:tr>
        <w:trPr>
          <w:trHeight w:val="223"/>
        </w:trPr>
        <w:tc>
          <w:tcPr>
            <w:tcW w:w="20" w:type="dxa"/>
            <w:vAlign w:val="bottom"/>
            <w:tcBorders>
              <w:bottom w:val="single" w:sz="8" w:color="CCEEFF"/>
            </w:tcBorders>
          </w:tcPr>
          <w:p>
            <w:pPr>
              <w:spacing w:after="0"/>
              <w:rPr>
                <w:sz w:val="19"/>
                <w:szCs w:val="19"/>
                <w:color w:val="auto"/>
              </w:rPr>
            </w:pPr>
          </w:p>
        </w:tc>
        <w:tc>
          <w:tcPr>
            <w:tcW w:w="5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6940" w:type="dxa"/>
            <w:vAlign w:val="bottom"/>
            <w:tcBorders>
              <w:bottom w:val="single" w:sz="8" w:color="auto"/>
            </w:tcBorders>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0"/>
              </w:rPr>
              <w:t>Reconciliation of Reported Operating Income (Loss) to Adjusted Operating Income (Loss)</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Reported Operating Income (Loss) - GAAP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202,731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(243,337)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428,417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(616,733)</w:t>
            </w:r>
          </w:p>
        </w:tc>
      </w:tr>
      <w:tr>
        <w:trPr>
          <w:trHeight w:val="229"/>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Impairments (a)</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213,953</w:t>
            </w: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Restructuring Charges (b)</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51,236</w:t>
            </w:r>
          </w:p>
        </w:tc>
      </w:tr>
      <w:tr>
        <w:trPr>
          <w:trHeight w:val="229"/>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 Store Closure and Lease Termination (c)</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(36,287)</w:t>
            </w:r>
          </w:p>
        </w:tc>
      </w:tr>
      <w:tr>
        <w:trPr>
          <w:trHeight w:val="223"/>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Adjusted Operating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202,731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(111,279)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428,417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(387,831)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608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w w:val="92"/>
              </w:rPr>
              <w:t>Reconciliation of Reported Net Income (Loss) to Adjusted Net Income (Loss)</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Net Income (Loss) - GAAP</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151,084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(498,071)</w:t>
            </w: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Asset Impairments (a)</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117,109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213,953</w:t>
            </w: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 (b)</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51,236</w:t>
            </w: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Hong Kong Store Closure and Lease Termination (c)</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(36,287)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(36,287)</w:t>
            </w: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(42,712)</w:t>
            </w:r>
          </w:p>
        </w:tc>
      </w:tr>
      <w:tr>
        <w:trPr>
          <w:trHeight w:val="223"/>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Adjusted 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151,084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(85,341)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325,115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(311,881)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8700" w:type="dxa"/>
            <w:vAlign w:val="bottom"/>
            <w:gridSpan w:val="10"/>
          </w:tcPr>
          <w:p>
            <w:pPr>
              <w:spacing w:after="0" w:line="189" w:lineRule="exact"/>
              <w:rPr>
                <w:sz w:val="20"/>
                <w:szCs w:val="20"/>
                <w:color w:val="auto"/>
              </w:rPr>
            </w:pPr>
            <w:r>
              <w:rPr>
                <w:rFonts w:ascii="Arial" w:cs="Arial" w:eastAsia="Arial" w:hAnsi="Arial"/>
                <w:sz w:val="18"/>
                <w:szCs w:val="18"/>
                <w:b w:val="1"/>
                <w:bCs w:val="1"/>
                <w:color w:val="auto"/>
                <w:w w:val="98"/>
              </w:rPr>
              <w:t>Reconciliation of Net Income (Loss) Per Diluted Share to Adjusted Net Income (Loss) Per Diluted Share</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Net Income (Loss) Per Diluted Share - GAAP</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Asset Impairments (a)</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 (b)</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Hong Kong Store Closure and Lease Termination (c)</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(Loss) Per Diluted Share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8"/>
        <w:spacing w:after="0" w:line="286" w:lineRule="auto"/>
        <w:tabs>
          <w:tab w:leader="none" w:pos="2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second quarter of 2020, we recognized a $117.1 million charge ($98.7 million net of tax of $18.5 million), included in buying and occupancy expenses, related to the impairment of certain lease and store assets. In the first quarter of 2020, we recognized a $96.8 million charge ($72.0 million net of tax of $24.8 million), included in buying and occupancy expenses, related to the impairment of certain store assets.</w:t>
      </w:r>
    </w:p>
    <w:p>
      <w:pPr>
        <w:spacing w:after="0" w:line="367"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second quarter of 2020, we recognized a $51.2 million charge ($40.2 million net of tax of $11.0 million), included in general, administrative and store operating expenses, related to restructuring activities.</w:t>
      </w:r>
    </w:p>
    <w:p>
      <w:pPr>
        <w:spacing w:after="0" w:line="386" w:lineRule="exact"/>
        <w:rPr>
          <w:rFonts w:ascii="Arial" w:cs="Arial" w:eastAsia="Arial" w:hAnsi="Arial"/>
          <w:sz w:val="18"/>
          <w:szCs w:val="18"/>
          <w:color w:val="auto"/>
        </w:rPr>
      </w:pPr>
    </w:p>
    <w:p>
      <w:pPr>
        <w:ind w:right="620" w:firstLine="8"/>
        <w:spacing w:after="0" w:line="308" w:lineRule="auto"/>
        <w:tabs>
          <w:tab w:leader="none" w:pos="2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second quarter of 2020, we recognized a $36.3 million gain ($24.7 million net of tax of $11.6 million), principally included in buying and occupancy expenses, related to the closure and termination of our lease and the related liability for the Hong Kong flagship store.</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1"/>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2021-08-18T15:49:53Z</dcterms:created>
  <dcterms:modified xsi:type="dcterms:W3CDTF">2021-08-18T15:49:53Z</dcterms:modified>
</cp:coreProperties>
</file>