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 2025</w:t>
      </w:r>
    </w:p>
    <w:p>
      <w:pPr>
        <w:spacing w:after="0" w:line="110" w:lineRule="exact"/>
        <w:rPr>
          <w:sz w:val="24"/>
          <w:szCs w:val="24"/>
          <w:color w:val="auto"/>
        </w:rPr>
      </w:pPr>
    </w:p>
    <w:tbl>
      <w:tblPr>
        <w:tblLayout w:type="fixed"/>
        <w:tblInd w:w="1060" w:type="dxa"/>
        <w:tblCellMar>
          <w:top w:w="0" w:type="dxa"/>
          <w:left w:w="0" w:type="dxa"/>
          <w:bottom w:w="0" w:type="dxa"/>
          <w:right w:w="0" w:type="dxa"/>
        </w:tblCellMar>
      </w:tblPr>
      <w:tr>
        <w:trPr>
          <w:trHeight w:val="330"/>
        </w:trPr>
        <w:tc>
          <w:tcPr>
            <w:tcW w:w="2540" w:type="dxa"/>
            <w:vAlign w:val="bottom"/>
          </w:tcPr>
          <w:p>
            <w:pPr>
              <w:spacing w:after="0"/>
              <w:rPr>
                <w:sz w:val="24"/>
                <w:szCs w:val="24"/>
                <w:color w:val="auto"/>
              </w:rPr>
            </w:pPr>
          </w:p>
        </w:tc>
        <w:tc>
          <w:tcPr>
            <w:tcW w:w="6720" w:type="dxa"/>
            <w:vAlign w:val="bottom"/>
          </w:tcPr>
          <w:p>
            <w:pPr>
              <w:jc w:val="center"/>
              <w:ind w:right="2673"/>
              <w:spacing w:after="0"/>
              <w:rPr>
                <w:sz w:val="20"/>
                <w:szCs w:val="20"/>
                <w:color w:val="auto"/>
              </w:rPr>
            </w:pPr>
            <w:r>
              <w:rPr>
                <w:rFonts w:ascii="Times New Roman" w:cs="Times New Roman" w:eastAsia="Times New Roman" w:hAnsi="Times New Roman"/>
                <w:sz w:val="25"/>
                <w:szCs w:val="25"/>
                <w:b w:val="1"/>
                <w:bCs w:val="1"/>
                <w:color w:val="auto"/>
              </w:rPr>
              <w:t>Victoria's Secret &amp; Co.</w:t>
            </w:r>
          </w:p>
        </w:tc>
      </w:tr>
      <w:tr>
        <w:trPr>
          <w:trHeight w:val="149"/>
        </w:trPr>
        <w:tc>
          <w:tcPr>
            <w:tcW w:w="2540" w:type="dxa"/>
            <w:vAlign w:val="bottom"/>
          </w:tcPr>
          <w:p>
            <w:pPr>
              <w:spacing w:after="0"/>
              <w:rPr>
                <w:sz w:val="12"/>
                <w:szCs w:val="12"/>
                <w:color w:val="auto"/>
              </w:rPr>
            </w:pPr>
          </w:p>
        </w:tc>
        <w:tc>
          <w:tcPr>
            <w:tcW w:w="6720" w:type="dxa"/>
            <w:vAlign w:val="bottom"/>
          </w:tcPr>
          <w:p>
            <w:pPr>
              <w:jc w:val="center"/>
              <w:ind w:right="2653"/>
              <w:spacing w:after="0" w:line="149"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65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4"/>
        </w:trPr>
        <w:tc>
          <w:tcPr>
            <w:tcW w:w="2540" w:type="dxa"/>
            <w:vAlign w:val="bottom"/>
          </w:tcPr>
          <w:p>
            <w:pPr>
              <w:spacing w:after="0"/>
              <w:rPr>
                <w:sz w:val="24"/>
                <w:szCs w:val="24"/>
                <w:color w:val="auto"/>
              </w:rPr>
            </w:pPr>
          </w:p>
        </w:tc>
        <w:tc>
          <w:tcPr>
            <w:tcW w:w="6720" w:type="dxa"/>
            <w:vAlign w:val="bottom"/>
          </w:tcPr>
          <w:p>
            <w:pPr>
              <w:jc w:val="center"/>
              <w:ind w:right="2653"/>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67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013"/>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91"/>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40" w:type="dxa"/>
            <w:vAlign w:val="bottom"/>
          </w:tcPr>
          <w:p>
            <w:pPr>
              <w:jc w:val="center"/>
              <w:ind w:right="17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033"/>
              <w:spacing w:after="0"/>
              <w:rPr>
                <w:sz w:val="20"/>
                <w:szCs w:val="20"/>
                <w:color w:val="auto"/>
              </w:rPr>
            </w:pPr>
            <w:r>
              <w:rPr>
                <w:rFonts w:ascii="Times New Roman" w:cs="Times New Roman" w:eastAsia="Times New Roman" w:hAnsi="Times New Roman"/>
                <w:sz w:val="14"/>
                <w:szCs w:val="14"/>
                <w:color w:val="auto"/>
              </w:rPr>
              <w:t>(Zip Code)</w:t>
            </w:r>
          </w:p>
        </w:tc>
      </w:tr>
      <w:tr>
        <w:trPr>
          <w:trHeight w:val="527"/>
        </w:trPr>
        <w:tc>
          <w:tcPr>
            <w:tcW w:w="2540" w:type="dxa"/>
            <w:vAlign w:val="bottom"/>
          </w:tcPr>
          <w:p>
            <w:pPr>
              <w:spacing w:after="0"/>
              <w:rPr>
                <w:sz w:val="24"/>
                <w:szCs w:val="24"/>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40" w:type="dxa"/>
            <w:vAlign w:val="bottom"/>
          </w:tcPr>
          <w:p>
            <w:pPr>
              <w:spacing w:after="0"/>
              <w:rPr>
                <w:sz w:val="24"/>
                <w:szCs w:val="24"/>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57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251"/>
        <w:spacing w:after="0" w:line="381"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VSCO</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34"/>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8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June 3, 2025, Victoria’s Secret &amp; Co. (the “Company”) issued a press release announcing its first quarter 2025 preliminary unaudited results. A copy of the press release is attached hereto as Exhibit 99.1 and is hereby incorporated by reference.</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information contained in Exhibit 99.1 hereto is being furnished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Company’s first quarter 2025 preliminary unaudited results and providing an update on a recent security incident involving the Company’s information technology systems is furnished as Exhibit 99.1 to this Current Report on Form 8-K.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9900" w:type="dxa"/>
            <w:vAlign w:val="bottom"/>
          </w:tcPr>
          <w:p>
            <w:pPr>
              <w:spacing w:after="0"/>
              <w:rPr>
                <w:sz w:val="20"/>
                <w:szCs w:val="20"/>
                <w:color w:val="auto"/>
              </w:rPr>
            </w:pPr>
          </w:p>
        </w:tc>
      </w:tr>
      <w:tr>
        <w:trPr>
          <w:trHeight w:val="432"/>
        </w:trPr>
        <w:tc>
          <w:tcPr>
            <w:tcW w:w="13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46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0000FF"/>
            </w:tcBorders>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9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Press Release of Victoria’s Secret &amp; Co., dated June 3, 2025.</w:t>
            </w:r>
          </w:p>
        </w:tc>
      </w:tr>
      <w:tr>
        <w:trPr>
          <w:trHeight w:val="304"/>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2005"/>
        </w:trPr>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00" w:lineRule="exact"/>
        <w:rPr>
          <w:sz w:val="20"/>
          <w:szCs w:val="20"/>
          <w:color w:val="auto"/>
        </w:rPr>
      </w:pPr>
    </w:p>
    <w:p>
      <w:pPr>
        <w:spacing w:after="0" w:line="286" w:lineRule="exact"/>
        <w:rPr>
          <w:sz w:val="20"/>
          <w:szCs w:val="20"/>
          <w:color w:val="auto"/>
        </w:rPr>
      </w:pPr>
    </w:p>
    <w:p>
      <w:pPr>
        <w:ind w:left="4620"/>
        <w:spacing w:after="0"/>
        <w:tabs>
          <w:tab w:leader="none" w:pos="6940" w:val="left"/>
          <w:tab w:leader="none" w:pos="7440" w:val="left"/>
        </w:tabs>
        <w:rPr>
          <w:sz w:val="20"/>
          <w:szCs w:val="20"/>
          <w:color w:val="auto"/>
        </w:rPr>
      </w:pPr>
      <w:r>
        <w:rPr>
          <w:rFonts w:ascii="Times New Roman" w:cs="Times New Roman" w:eastAsia="Times New Roman" w:hAnsi="Times New Roman"/>
          <w:sz w:val="18"/>
          <w:szCs w:val="18"/>
          <w:color w:val="auto"/>
        </w:rPr>
        <w:t>Date: June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20320</wp:posOffset>
            </wp:positionV>
            <wp:extent cx="4594860" cy="124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29"/>
          <w:szCs w:val="29"/>
          <w:b w:val="1"/>
          <w:bCs w:val="1"/>
          <w:color w:val="auto"/>
        </w:rPr>
        <w:t>Victoria’s Secret &amp; Co. Provides First Quarter 2025 Preliminary Results and Update on Security Incident Involving Information Technology Systems</w:t>
      </w:r>
    </w:p>
    <w:p>
      <w:pPr>
        <w:spacing w:after="0" w:line="15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5"/>
          <w:szCs w:val="25"/>
          <w:b w:val="1"/>
          <w:bCs w:val="1"/>
          <w:i w:val="1"/>
          <w:iCs w:val="1"/>
          <w:color w:val="auto"/>
        </w:rPr>
        <w:t>First quarter 2025 earnings release and call webcast postponed</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i w:val="1"/>
          <w:iCs w:val="1"/>
          <w:color w:val="auto"/>
        </w:rPr>
        <w:t>Company expects net sales, adjusted operating income, and adjusted diluted EPS for the first quarter to be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near or exceed the high-end of previously issued guidance ranges</w:t>
      </w:r>
    </w:p>
    <w:p>
      <w:pPr>
        <w:spacing w:after="0" w:line="216" w:lineRule="exact"/>
        <w:rPr>
          <w:sz w:val="20"/>
          <w:szCs w:val="20"/>
          <w:color w:val="auto"/>
        </w:rPr>
      </w:pPr>
    </w:p>
    <w:p>
      <w:pPr>
        <w:ind w:right="440"/>
        <w:spacing w:after="0" w:line="249" w:lineRule="auto"/>
        <w:rPr>
          <w:sz w:val="20"/>
          <w:szCs w:val="20"/>
          <w:color w:val="auto"/>
        </w:rPr>
      </w:pPr>
      <w:r>
        <w:rPr>
          <w:rFonts w:ascii="Times New Roman" w:cs="Times New Roman" w:eastAsia="Times New Roman" w:hAnsi="Times New Roman"/>
          <w:sz w:val="22"/>
          <w:szCs w:val="22"/>
          <w:color w:val="auto"/>
        </w:rPr>
        <w:t>Reynoldsburg, Ohio (June 3, 2025)</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Victoria’s Secret &amp; Co. (“VS&amp;Co” or the “Company”) (NYSE: VSCO) is providing an update on a recent security incident involving its information technology systems.</w:t>
      </w:r>
    </w:p>
    <w:p>
      <w:pPr>
        <w:spacing w:after="0" w:line="195" w:lineRule="exact"/>
        <w:rPr>
          <w:sz w:val="20"/>
          <w:szCs w:val="20"/>
          <w:color w:val="auto"/>
        </w:rPr>
      </w:pPr>
    </w:p>
    <w:p>
      <w:pPr>
        <w:ind w:right="520"/>
        <w:spacing w:after="0" w:line="244" w:lineRule="auto"/>
        <w:rPr>
          <w:sz w:val="20"/>
          <w:szCs w:val="20"/>
          <w:color w:val="auto"/>
        </w:rPr>
      </w:pPr>
      <w:r>
        <w:rPr>
          <w:rFonts w:ascii="Times New Roman" w:cs="Times New Roman" w:eastAsia="Times New Roman" w:hAnsi="Times New Roman"/>
          <w:sz w:val="22"/>
          <w:szCs w:val="22"/>
          <w:color w:val="auto"/>
        </w:rPr>
        <w:t>On May 24, 2025, the Company detected a security incident involving its information technology systems. The Company immediately enacted its response protocols to attempt to contain and eradicate unauthorized network access, and third-party experts were engaged.</w:t>
      </w:r>
    </w:p>
    <w:p>
      <w:pPr>
        <w:spacing w:after="0" w:line="200"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As a precaution, the Company also temporarily shut down its corporate systems and e-commerce website on May 26, 2025. The website was restored on May 29, 2025 and work is ongoing to restore full access to corporate systems. The incident also affected certain limited functions in Victoria’s Secret and PINK stores, most of which have been restored.</w:t>
      </w:r>
    </w:p>
    <w:p>
      <w:pPr>
        <w:spacing w:after="0" w:line="200"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1"/>
          <w:szCs w:val="21"/>
          <w:color w:val="auto"/>
        </w:rPr>
        <w:t>The incident did not impact the Company’s financial results for the first quarter of fiscal 2025, which were near or exceeded the high-end of guidance as discussed below. However, the restoration process has prevented employees from accessing certain systems and information needed to support the Company’s release of its financial results for the first quarter ended May 3, 2025. As a result, the Company is postponing the date of its previously announced first quarter 2025 earnings release and earnings call webcast. The Company plans to announce a new earnings release and earnings call webcast date in due course.</w:t>
      </w:r>
    </w:p>
    <w:p>
      <w:pPr>
        <w:spacing w:after="0" w:line="19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The Company continues to assess the full scope and impact of the incident, under the oversight of the Audit Committee of the Board of Directors. Although this incident has not caused a material disruption to its operations to date, the Company has incurred, and may continue to incur, expenses and other financial impacts related to this incident, which could negatively impact its future financial results, including for the second quarter of fiscal 2025.</w:t>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First Quarter 2025 Preliminary Financial Results</w:t>
      </w:r>
    </w:p>
    <w:p>
      <w:pPr>
        <w:spacing w:after="0" w:line="23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2"/>
          <w:szCs w:val="22"/>
          <w:color w:val="auto"/>
        </w:rPr>
        <w:t>In conjunction with today’s announcement, the Company is providing preliminary results for the first quarter 2025. Net sales, adjusted operating income, and adjusted diluted earnings per share for the first quarter are expected to be near or exceed the high-end of previously issued guidance ranges as highlighted in the table below.</w:t>
      </w:r>
    </w:p>
    <w:tbl>
      <w:tblPr>
        <w:tblLayout w:type="fixed"/>
        <w:tblInd w:w="20" w:type="dxa"/>
        <w:tblCellMar>
          <w:top w:w="0" w:type="dxa"/>
          <w:left w:w="0" w:type="dxa"/>
          <w:bottom w:w="0" w:type="dxa"/>
          <w:right w:w="0" w:type="dxa"/>
        </w:tblCellMar>
      </w:tblPr>
      <w:tr>
        <w:trPr>
          <w:trHeight w:val="285"/>
        </w:trPr>
        <w:tc>
          <w:tcPr>
            <w:tcW w:w="390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First Quarter 2025</w:t>
            </w:r>
          </w:p>
        </w:tc>
      </w:tr>
      <w:tr>
        <w:trPr>
          <w:trHeight w:val="263"/>
        </w:trPr>
        <w:tc>
          <w:tcPr>
            <w:tcW w:w="3900" w:type="dxa"/>
            <w:vAlign w:val="bottom"/>
          </w:tcPr>
          <w:p>
            <w:pPr>
              <w:spacing w:after="0"/>
              <w:rPr>
                <w:sz w:val="22"/>
                <w:szCs w:val="22"/>
                <w:color w:val="auto"/>
              </w:rPr>
            </w:pPr>
          </w:p>
        </w:tc>
        <w:tc>
          <w:tcPr>
            <w:tcW w:w="2740" w:type="dxa"/>
            <w:vAlign w:val="bottom"/>
            <w:tcBorders>
              <w:bottom w:val="single" w:sz="8" w:color="auto"/>
            </w:tcBorders>
          </w:tcPr>
          <w:p>
            <w:pPr>
              <w:jc w:val="center"/>
              <w:ind w:left="712"/>
              <w:spacing w:after="0"/>
              <w:rPr>
                <w:sz w:val="20"/>
                <w:szCs w:val="20"/>
                <w:color w:val="auto"/>
              </w:rPr>
            </w:pPr>
            <w:r>
              <w:rPr>
                <w:rFonts w:ascii="Times New Roman" w:cs="Times New Roman" w:eastAsia="Times New Roman" w:hAnsi="Times New Roman"/>
                <w:sz w:val="22"/>
                <w:szCs w:val="22"/>
                <w:b w:val="1"/>
                <w:bCs w:val="1"/>
                <w:color w:val="auto"/>
                <w:w w:val="98"/>
              </w:rPr>
              <w:t>Preliminary Results</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Prior Guidance</w:t>
            </w:r>
          </w:p>
        </w:tc>
      </w:tr>
      <w:tr>
        <w:trPr>
          <w:trHeight w:val="303"/>
        </w:trPr>
        <w:tc>
          <w:tcPr>
            <w:tcW w:w="39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Sales</w:t>
            </w:r>
          </w:p>
        </w:tc>
        <w:tc>
          <w:tcPr>
            <w:tcW w:w="274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$1.35 billion</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$1.30 billion to $1.33 billion</w:t>
            </w:r>
          </w:p>
        </w:tc>
      </w:tr>
      <w:tr>
        <w:trPr>
          <w:trHeight w:val="324"/>
        </w:trPr>
        <w:tc>
          <w:tcPr>
            <w:tcW w:w="39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Adjusted Operating Income</w:t>
            </w:r>
          </w:p>
        </w:tc>
        <w:tc>
          <w:tcPr>
            <w:tcW w:w="2740" w:type="dxa"/>
            <w:vAlign w:val="bottom"/>
          </w:tcPr>
          <w:p>
            <w:pPr>
              <w:jc w:val="center"/>
              <w:ind w:left="712"/>
              <w:spacing w:after="0"/>
              <w:rPr>
                <w:sz w:val="20"/>
                <w:szCs w:val="20"/>
                <w:color w:val="auto"/>
              </w:rPr>
            </w:pPr>
            <w:r>
              <w:rPr>
                <w:rFonts w:ascii="Times New Roman" w:cs="Times New Roman" w:eastAsia="Times New Roman" w:hAnsi="Times New Roman"/>
                <w:sz w:val="22"/>
                <w:szCs w:val="22"/>
                <w:color w:val="auto"/>
                <w:w w:val="97"/>
              </w:rPr>
              <w:t>$32 million</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$10 - $30 million</w:t>
            </w:r>
          </w:p>
        </w:tc>
      </w:tr>
      <w:tr>
        <w:trPr>
          <w:trHeight w:val="258"/>
        </w:trPr>
        <w:tc>
          <w:tcPr>
            <w:tcW w:w="39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Adjusted Net Income (Loss) Per Diluted</w:t>
            </w:r>
          </w:p>
        </w:tc>
        <w:tc>
          <w:tcPr>
            <w:tcW w:w="2740" w:type="dxa"/>
            <w:vAlign w:val="bottom"/>
          </w:tcPr>
          <w:p>
            <w:pPr>
              <w:jc w:val="center"/>
              <w:ind w:left="712"/>
              <w:spacing w:after="0"/>
              <w:rPr>
                <w:sz w:val="20"/>
                <w:szCs w:val="20"/>
                <w:color w:val="auto"/>
              </w:rPr>
            </w:pPr>
            <w:r>
              <w:rPr>
                <w:rFonts w:ascii="Times New Roman" w:cs="Times New Roman" w:eastAsia="Times New Roman" w:hAnsi="Times New Roman"/>
                <w:sz w:val="22"/>
                <w:szCs w:val="22"/>
                <w:color w:val="auto"/>
                <w:w w:val="96"/>
              </w:rPr>
              <w:t>$0.09</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($0.10) to $0.10</w:t>
            </w:r>
          </w:p>
        </w:tc>
      </w:tr>
      <w:tr>
        <w:trPr>
          <w:trHeight w:val="286"/>
        </w:trPr>
        <w:tc>
          <w:tcPr>
            <w:tcW w:w="39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w:t>
            </w:r>
          </w:p>
        </w:tc>
        <w:tc>
          <w:tcPr>
            <w:tcW w:w="2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r>
    </w:tbl>
    <w:p>
      <w:pPr>
        <w:spacing w:after="0" w:line="294"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21"/>
          <w:szCs w:val="21"/>
          <w:color w:val="auto"/>
        </w:rPr>
        <w:t>Adjusted operating income and adjusted diluted earnings per share are non-GAAP financial measures. At the conclusion of this press release, we have included more information regarding these non-GAAP financial measures, including a reconciliation of each non-GAAP financial measure to the most directly comparable financial measure computed in accordance with GAAP.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Victoria’s Secret &amp; Co.</w:t>
      </w:r>
    </w:p>
    <w:p>
      <w:pPr>
        <w:spacing w:after="0" w:line="18"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2"/>
          <w:szCs w:val="22"/>
          <w:color w:val="auto"/>
        </w:rPr>
        <w:t>Victoria’s Secret &amp; Co. (NYSE: VSCO) is a specialty retailer of modern, fashion-inspired collections including signature bras, panties, lingerie, apparel, casual sleepwear, swim, lounge and sport, as well as award-winning prestige fragrances and body care. VS&amp;Co is comprised of market leading brands, Victoria’s Secret and PINK, that share a common purpose of supporting women in all they do, and Adore Me, a technology-led, digital first innovative intimates brand serving women of all sizes and budgets at all phases of life. We are committed to empowering our more than 30,000 associates across a global footprint of approximately 1,380 retail stores in nearly 70 countries.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Safe Harbor Statement Under the Private Securities Litigation Reform Act of 1995</w:t>
      </w:r>
    </w:p>
    <w:p>
      <w:pPr>
        <w:spacing w:after="0" w:line="23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pacing w:after="0" w:line="21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general economic conditions, inflation, and changes in consumer confidence and consumer spending patterns;</w:t>
      </w:r>
    </w:p>
    <w:p>
      <w:pPr>
        <w:spacing w:after="0" w:line="13"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disruptions including pandemics or significant health hazards, severe weather conditions, natural disasters, terrorist activities, financial crises, political crises or other major events, or the prospect of these events;</w:t>
      </w:r>
    </w:p>
    <w:p>
      <w:pPr>
        <w:sectPr>
          <w:pgSz w:w="11900" w:h="16838" w:orient="portrait"/>
          <w:cols w:equalWidth="0" w:num="1">
            <w:col w:w="11240"/>
          </w:cols>
          <w:pgMar w:left="320" w:top="756" w:right="339" w:bottom="1440" w:gutter="0" w:footer="0" w:header="0"/>
        </w:sectPr>
      </w:pPr>
    </w:p>
    <w:bookmarkStart w:id="5" w:name="page6"/>
    <w:bookmarkEnd w:id="5"/>
    <w:p>
      <w:pPr>
        <w:ind w:left="328" w:hanging="328"/>
        <w:spacing w:after="0" w:line="241" w:lineRule="auto"/>
        <w:tabs>
          <w:tab w:leader="none" w:pos="32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in the global trade environment, including the imposition or threatened imposition of tariffs or other trade restrictions;</w:t>
      </w:r>
    </w:p>
    <w:p>
      <w:pPr>
        <w:spacing w:after="0" w:line="1" w:lineRule="exact"/>
        <w:rPr>
          <w:rFonts w:ascii="Times New Roman" w:cs="Times New Roman" w:eastAsia="Times New Roman" w:hAnsi="Times New Roman"/>
          <w:sz w:val="22"/>
          <w:szCs w:val="22"/>
          <w:color w:val="auto"/>
        </w:rPr>
      </w:pPr>
    </w:p>
    <w:p>
      <w:pPr>
        <w:ind w:left="328" w:hanging="328"/>
        <w:spacing w:after="0" w:line="230" w:lineRule="auto"/>
        <w:tabs>
          <w:tab w:leader="none" w:pos="32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successfully implement our strategic plan;</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difficulties arising from changes and turnover in company leadership or other key positions;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develop and retain qualified associates and manage labor-related costs;</w:t>
      </w:r>
    </w:p>
    <w:p>
      <w:pPr>
        <w:ind w:left="328" w:hanging="328"/>
        <w:spacing w:after="0" w:line="216"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dependence on traffic to our stores and the availability of suitable store locations on satisfactory terms;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expand internationally and related risks;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operations and performance of our franchisees, licensees, wholesalers and joint venture partners;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grow our direct channel business;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protect our reputation and the image and value of our brands;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customers with marketing, advertising and promotional programs;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highly competitive nature of the retail industry and the segments in which we operate;</w:t>
      </w:r>
    </w:p>
    <w:p>
      <w:pPr>
        <w:ind w:left="328" w:hanging="328"/>
        <w:spacing w:after="0" w:line="230" w:lineRule="auto"/>
        <w:tabs>
          <w:tab w:leader="none" w:pos="323"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consumer acceptance of our products and our ability to manage the life cycle of our brands, remain current with fashion trends, and develop and launch new merchandise, product lines and brands successfully;</w:t>
      </w:r>
    </w:p>
    <w:p>
      <w:pPr>
        <w:ind w:left="328" w:hanging="328"/>
        <w:spacing w:after="0" w:line="230" w:lineRule="auto"/>
        <w:tabs>
          <w:tab w:leader="none" w:pos="32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integrate acquired businesses and realize the benefits and synergies sought with such acquisitions;</w:t>
      </w:r>
    </w:p>
    <w:p>
      <w:pPr>
        <w:ind w:left="328" w:right="20" w:hanging="328"/>
        <w:spacing w:after="0" w:line="224" w:lineRule="auto"/>
        <w:tabs>
          <w:tab w:leader="none" w:pos="32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incorporate artificial intelligence into our business operations successfully and ethically while effectively managing the associated risks;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source materials and produce, distribute and sell merchandise on a global basis, including risks related to:</w:t>
      </w:r>
    </w:p>
    <w:p>
      <w:pPr>
        <w:ind w:left="968" w:hanging="320"/>
        <w:spacing w:after="0" w:line="229" w:lineRule="auto"/>
        <w:tabs>
          <w:tab w:leader="none" w:pos="968"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political instability and geopolitical conflicts;</w:t>
      </w:r>
    </w:p>
    <w:p>
      <w:pPr>
        <w:ind w:left="968" w:hanging="320"/>
        <w:spacing w:after="0" w:line="230" w:lineRule="auto"/>
        <w:tabs>
          <w:tab w:leader="none" w:pos="968"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hazards and natural disasters;</w:t>
      </w:r>
    </w:p>
    <w:p>
      <w:pPr>
        <w:ind w:left="968" w:hanging="320"/>
        <w:spacing w:after="0" w:line="229" w:lineRule="auto"/>
        <w:tabs>
          <w:tab w:leader="none" w:pos="968"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health hazards and pandemics;</w:t>
      </w:r>
    </w:p>
    <w:p>
      <w:pPr>
        <w:ind w:left="968" w:hanging="320"/>
        <w:spacing w:after="0" w:line="229" w:lineRule="auto"/>
        <w:tabs>
          <w:tab w:leader="none" w:pos="968"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delays or disruptions in shipping and transportation and related pricing impacts;</w:t>
      </w:r>
    </w:p>
    <w:p>
      <w:pPr>
        <w:ind w:left="968" w:hanging="320"/>
        <w:spacing w:after="0" w:line="230" w:lineRule="auto"/>
        <w:tabs>
          <w:tab w:leader="none" w:pos="968"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foreign currency exchange rate fluctuations; and</w:t>
      </w:r>
    </w:p>
    <w:p>
      <w:pPr>
        <w:ind w:left="968" w:hanging="320"/>
        <w:spacing w:after="0" w:line="229" w:lineRule="auto"/>
        <w:tabs>
          <w:tab w:leader="none" w:pos="968"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disruption due to labor disputes;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geographic concentration of production and distribution facilities in central Ohio and Southeast Asia;</w:t>
      </w:r>
    </w:p>
    <w:p>
      <w:pPr>
        <w:ind w:left="328" w:right="20" w:hanging="328"/>
        <w:spacing w:after="0" w:line="223" w:lineRule="auto"/>
        <w:tabs>
          <w:tab w:leader="none" w:pos="323"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ability of our vendors to manufacture and deliver products in a timely manner, meet quality standards and comply with applicable laws and regulations;</w:t>
      </w:r>
    </w:p>
    <w:p>
      <w:pPr>
        <w:spacing w:after="0" w:line="1" w:lineRule="exact"/>
        <w:rPr>
          <w:rFonts w:ascii="Arial" w:cs="Arial" w:eastAsia="Arial" w:hAnsi="Arial"/>
          <w:sz w:val="22"/>
          <w:szCs w:val="22"/>
          <w:color w:val="auto"/>
        </w:rPr>
      </w:pP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fluctuations in freight, product input and energy costs;</w:t>
      </w:r>
    </w:p>
    <w:p>
      <w:pPr>
        <w:ind w:left="328" w:hanging="328"/>
        <w:spacing w:after="0" w:line="230" w:lineRule="auto"/>
        <w:tabs>
          <w:tab w:leader="none" w:pos="323"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and our third-party service providers’ ability to implement and maintain information technology systems and to protect associated data and system availability;</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the security of customer, associate, third-party and company information;</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stock price volatility;</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shareholder activism matters;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our credit rating;</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regulatory requirements; and</w:t>
      </w:r>
    </w:p>
    <w:p>
      <w:pPr>
        <w:ind w:left="328" w:hanging="328"/>
        <w:spacing w:after="0"/>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legal, tax, trade and other regulatory matters.</w:t>
      </w:r>
    </w:p>
    <w:p>
      <w:pPr>
        <w:sectPr>
          <w:pgSz w:w="11900" w:h="16838" w:orient="portrait"/>
          <w:cols w:equalWidth="0" w:num="1">
            <w:col w:w="10908"/>
          </w:cols>
          <w:pgMar w:left="652" w:top="760" w:right="339" w:bottom="1440" w:gutter="0" w:footer="0" w:header="0"/>
        </w:sectPr>
      </w:pPr>
    </w:p>
    <w:bookmarkStart w:id="6" w:name="page7"/>
    <w:bookmarkEnd w:id="6"/>
    <w:p>
      <w:pPr>
        <w:spacing w:after="0" w:line="236" w:lineRule="auto"/>
        <w:rPr>
          <w:sz w:val="20"/>
          <w:szCs w:val="20"/>
          <w:color w:val="auto"/>
        </w:rPr>
      </w:pPr>
      <w:r>
        <w:rPr>
          <w:rFonts w:ascii="Times New Roman" w:cs="Times New Roman" w:eastAsia="Times New Roman" w:hAnsi="Times New Roman"/>
          <w:sz w:val="22"/>
          <w:szCs w:val="22"/>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2024 Annual Report on Form 10-K filed with the Securities and Exchange Commission on March 21, 2025.</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 further information, please contact:</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10"/>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Kevin Wynk</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Brooke Wilson</w:t>
            </w:r>
          </w:p>
        </w:tc>
      </w:tr>
      <w:tr>
        <w:trPr>
          <w:trHeight w:val="230"/>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communications@victoria.com</w:t>
            </w:r>
          </w:p>
        </w:tc>
      </w:tr>
    </w:tbl>
    <w:p>
      <w:pPr>
        <w:sectPr>
          <w:pgSz w:w="11900" w:h="16838" w:orient="portrait"/>
          <w:cols w:equalWidth="0" w:num="1">
            <w:col w:w="11160"/>
          </w:cols>
          <w:pgMar w:left="320" w:top="760" w:right="4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VICTORIA'S SECRET &amp; CO.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NON-GAAP FINANCIAL INFORMATION</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86" w:lineRule="exact"/>
        <w:rPr>
          <w:sz w:val="20"/>
          <w:szCs w:val="20"/>
          <w:color w:val="auto"/>
        </w:rPr>
      </w:pPr>
    </w:p>
    <w:p>
      <w:pPr>
        <w:ind w:left="20" w:right="140"/>
        <w:spacing w:after="0" w:line="242" w:lineRule="auto"/>
        <w:rPr>
          <w:sz w:val="20"/>
          <w:szCs w:val="20"/>
          <w:color w:val="auto"/>
        </w:rPr>
      </w:pPr>
      <w:r>
        <w:rPr>
          <w:rFonts w:ascii="Times New Roman" w:cs="Times New Roman" w:eastAsia="Times New Roman" w:hAnsi="Times New Roman"/>
          <w:sz w:val="16"/>
          <w:szCs w:val="16"/>
          <w:i w:val="1"/>
          <w:iCs w:val="1"/>
          <w:color w:val="auto"/>
        </w:rPr>
        <w:t>In addition to our results provided in accordance with GAAP, provided below are non-GAAP financial measures that present operating income and net income (loss) per diluted share attributable to Victoria's Secret &amp; Co.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5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3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First Quarter 2025</w:t>
            </w:r>
          </w:p>
        </w:tc>
      </w:tr>
      <w:tr>
        <w:trPr>
          <w:trHeight w:val="162"/>
        </w:trPr>
        <w:tc>
          <w:tcPr>
            <w:tcW w:w="884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Reconciliation of Preliminary Results</w:t>
            </w:r>
          </w:p>
        </w:tc>
        <w:tc>
          <w:tcPr>
            <w:tcW w:w="2380" w:type="dxa"/>
            <w:vAlign w:val="bottom"/>
          </w:tcPr>
          <w:p>
            <w:pPr>
              <w:spacing w:after="0"/>
              <w:rPr>
                <w:sz w:val="14"/>
                <w:szCs w:val="14"/>
                <w:color w:val="auto"/>
              </w:rPr>
            </w:pPr>
          </w:p>
        </w:tc>
      </w:tr>
      <w:tr>
        <w:trPr>
          <w:trHeight w:val="231"/>
        </w:trPr>
        <w:tc>
          <w:tcPr>
            <w:tcW w:w="2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Preliminary Operating Income - GAAP</w:t>
            </w:r>
          </w:p>
        </w:tc>
        <w:tc>
          <w:tcPr>
            <w:tcW w:w="626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million</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 of Intangible Assets (a)</w:t>
            </w: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million</w:t>
            </w:r>
          </w:p>
        </w:tc>
      </w:tr>
      <w:tr>
        <w:trPr>
          <w:trHeight w:val="219"/>
        </w:trPr>
        <w:tc>
          <w:tcPr>
            <w:tcW w:w="8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Restructuring and Other One-time Charges (b)</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 million</w:t>
            </w:r>
          </w:p>
        </w:tc>
      </w:tr>
      <w:tr>
        <w:trPr>
          <w:trHeight w:val="213"/>
        </w:trPr>
        <w:tc>
          <w:tcPr>
            <w:tcW w:w="8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Preliminary Adjusted Operating Income</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million</w:t>
            </w:r>
          </w:p>
        </w:tc>
      </w:tr>
      <w:tr>
        <w:trPr>
          <w:trHeight w:val="21"/>
        </w:trPr>
        <w:tc>
          <w:tcPr>
            <w:tcW w:w="25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433"/>
        </w:trPr>
        <w:tc>
          <w:tcPr>
            <w:tcW w:w="8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Preliminary Net Loss Per Diluted Share Attributable to Victoria's Secret &amp; Co. - GAAP</w:t>
            </w: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 of Intangible Assets (a)</w:t>
            </w: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19"/>
        </w:trPr>
        <w:tc>
          <w:tcPr>
            <w:tcW w:w="8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Restructuring and Other One-time Charges (b)</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2"/>
        </w:trPr>
        <w:tc>
          <w:tcPr>
            <w:tcW w:w="8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Preliminary Adjusted Net Income Per Diluted Share Attributable to Victoria's Secret &amp; Co.</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1"/>
        </w:trPr>
        <w:tc>
          <w:tcPr>
            <w:tcW w:w="25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400" w:firstLine="8"/>
        <w:spacing w:after="0" w:line="298" w:lineRule="auto"/>
        <w:tabs>
          <w:tab w:leader="none" w:pos="2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2025, we recognized amortization expense of $6 million ($5 million after tax) included in general, administrative and store operating expense, related to our definite-lived intangible assets.</w:t>
      </w:r>
    </w:p>
    <w:p>
      <w:pPr>
        <w:spacing w:after="0" w:line="29" w:lineRule="exact"/>
        <w:rPr>
          <w:rFonts w:ascii="Times New Roman" w:cs="Times New Roman" w:eastAsia="Times New Roman" w:hAnsi="Times New Roman"/>
          <w:sz w:val="16"/>
          <w:szCs w:val="16"/>
          <w:color w:val="auto"/>
        </w:rPr>
      </w:pPr>
    </w:p>
    <w:p>
      <w:pPr>
        <w:ind w:right="60" w:firstLine="8"/>
        <w:spacing w:after="0" w:line="280" w:lineRule="auto"/>
        <w:tabs>
          <w:tab w:leader="none" w:pos="22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2025, we recognized pre-tax charges of $6 million ($4 million after tax), $4 million included in general, administrative and store operating expense and $2 million included in buying and occupancy expense, related to activities to restructure our executive leadership team and other one-time expenses.</w:t>
      </w:r>
    </w:p>
    <w:sectPr>
      <w:pgSz w:w="11900" w:h="16838" w:orient="portrait"/>
      <w:cols w:equalWidth="0" w:num="1">
        <w:col w:w="11240"/>
      </w:cols>
      <w:pgMar w:left="320" w:top="8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2025-06-03T07:08:50Z</dcterms:created>
  <dcterms:modified xsi:type="dcterms:W3CDTF">2025-06-03T07:08:50Z</dcterms:modified>
</cp:coreProperties>
</file>