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074ddefa14a.htm"/>
      <w:bookmarkStart w:id="1" w:name="ksd3207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Victoria’s Secret &amp; Co.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November 4, 2025, Victoria’s Secret &amp; Co. issued the following press release: </w:t>
      </w:r>
    </w:p>
    <w:p>
      <w:pPr>
        <w:pStyle w:val="TextBody"/>
        <w:bidi w:val="0"/>
        <w:spacing w:before="120" w:after="0"/>
        <w:jc w:val="center"/>
        <w:rPr>
          <w:rFonts w:ascii="Times New Roman" w:hAnsi="Times New Roman"/>
          <w:b/>
          <w:sz w:val="28"/>
        </w:rPr>
      </w:pPr>
      <w:r>
        <w:rPr>
          <w:rFonts w:ascii="Times New Roman" w:hAnsi="Times New Roman"/>
          <w:b/>
          <w:sz w:val="28"/>
        </w:rPr>
        <w:t xml:space="preserve">Victoria’s Secret &amp; Co. Board Comments on BBRC Letter </w:t>
      </w:r>
    </w:p>
    <w:p>
      <w:pPr>
        <w:pStyle w:val="TextBody"/>
        <w:bidi w:val="0"/>
        <w:spacing w:before="240" w:after="0"/>
        <w:jc w:val="center"/>
        <w:rPr>
          <w:rFonts w:ascii="Times New Roman" w:hAnsi="Times New Roman"/>
          <w:i/>
          <w:sz w:val="20"/>
        </w:rPr>
      </w:pPr>
      <w:r>
        <w:rPr>
          <w:rFonts w:ascii="Times New Roman" w:hAnsi="Times New Roman"/>
          <w:i/>
          <w:sz w:val="20"/>
        </w:rPr>
        <w:t xml:space="preserve">The Board has engaged extensively with BBRC since its initial investment in May 2022 </w:t>
      </w:r>
    </w:p>
    <w:p>
      <w:pPr>
        <w:pStyle w:val="TextBody"/>
        <w:bidi w:val="0"/>
        <w:spacing w:before="240" w:after="0"/>
        <w:jc w:val="center"/>
        <w:rPr>
          <w:rFonts w:ascii="Times New Roman" w:hAnsi="Times New Roman"/>
          <w:i/>
          <w:sz w:val="20"/>
        </w:rPr>
      </w:pPr>
      <w:r>
        <w:rPr>
          <w:rFonts w:ascii="Times New Roman" w:hAnsi="Times New Roman"/>
          <w:i/>
          <w:sz w:val="20"/>
        </w:rPr>
        <w:t xml:space="preserve">The Board is currently in the process of carefully vetting Brett Blundy’s candidacy and evaluating his other new demands </w:t>
      </w:r>
    </w:p>
    <w:p>
      <w:pPr>
        <w:pStyle w:val="TextBody"/>
        <w:bidi w:val="0"/>
        <w:spacing w:before="240" w:after="0"/>
        <w:jc w:val="center"/>
        <w:rPr>
          <w:rFonts w:ascii="Times New Roman" w:hAnsi="Times New Roman"/>
          <w:i/>
          <w:sz w:val="20"/>
        </w:rPr>
      </w:pPr>
      <w:r>
        <w:rPr>
          <w:rFonts w:ascii="Times New Roman" w:hAnsi="Times New Roman"/>
          <w:i/>
          <w:sz w:val="20"/>
        </w:rPr>
        <w:t xml:space="preserve">Victoria’s Secret &amp; Co. highlights significant momentum under new CEO Hillary Super, with total shareholder returns of 89% since her appointment, outperforming S&amp;P 1500 Specialty Retail Index by 78% and peers used by research analysts by 91% </w:t>
      </w:r>
    </w:p>
    <w:p>
      <w:pPr>
        <w:pStyle w:val="TextBody"/>
        <w:bidi w:val="0"/>
        <w:spacing w:before="240" w:after="0"/>
        <w:jc w:val="left"/>
        <w:rPr>
          <w:rFonts w:ascii="Times New Roman" w:hAnsi="Times New Roman"/>
          <w:sz w:val="20"/>
        </w:rPr>
      </w:pPr>
      <w:r>
        <w:rPr>
          <w:rFonts w:ascii="Times New Roman" w:hAnsi="Times New Roman"/>
          <w:sz w:val="20"/>
        </w:rPr>
        <w:t xml:space="preserve">November 4, 2025 — Victoria’s Secret &amp; Co. (“VS&amp;Co” or the “Company”) (NYSE: VSCO) today issued the following statement regarding the recent public letter from BBRC International Pte Limited (“BBRC”), and its Chairman, Brett Blundy, sent to VS&amp;Co’s Board of Directors (the “Board”).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has engaged extensively with BBRC and is conducting a thorough review of Mr. Blundy in response to his demand for a Board seat and other changes.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and management team have met extensively with Mr. Blundy and other BBRC representatives over the past three years, including during the previous evaluation of his director candidacy in late 2023 and early 2024. At the Board’s invitation, Mr. Blundy presented at the Board’s late September 2025 meeting, where he demanded his appointment to the Board and made multiple new demands including the resignation of the Board’s Chair, the suggestion that he should be made Chair, and other extensive changes to Board and committee composition. </w:t>
      </w:r>
    </w:p>
    <w:p>
      <w:pPr>
        <w:pStyle w:val="TextBody"/>
        <w:bidi w:val="0"/>
        <w:spacing w:before="240" w:after="0"/>
        <w:jc w:val="left"/>
        <w:rPr>
          <w:rFonts w:ascii="Times New Roman" w:hAnsi="Times New Roman"/>
          <w:sz w:val="20"/>
        </w:rPr>
      </w:pPr>
      <w:r>
        <w:rPr>
          <w:rFonts w:ascii="Times New Roman" w:hAnsi="Times New Roman"/>
          <w:sz w:val="20"/>
        </w:rPr>
        <w:t xml:space="preserve">In response, the Board promptly launched a renewed evaluation of Mr. Blundy’s director candidacy, including additional required due diligence and vetting due to conflicts of interest and competitive concerns, and the potential for reputational and legal risk arising from past conduct-related issues at affiliates owned or controlled by BBRC, each of which has at various times been discussed with at least one of the four outside counsel BBRC has engaged throughout the process. This process has included multiple in-person and virtual meetings and written correspondence between BBRC and members of the Board and other Company representatives, and respective counsel. This process was agreed upon by both parties, follows best practices, and the Company approached all discussions in a spirit of collaboration. </w:t>
      </w:r>
    </w:p>
    <w:p>
      <w:pPr>
        <w:pStyle w:val="TextBody"/>
        <w:bidi w:val="0"/>
        <w:spacing w:before="240" w:after="0"/>
        <w:jc w:val="left"/>
        <w:rPr>
          <w:rFonts w:ascii="Times New Roman" w:hAnsi="Times New Roman"/>
          <w:sz w:val="20"/>
        </w:rPr>
      </w:pPr>
      <w:r>
        <w:rPr>
          <w:rFonts w:ascii="Times New Roman" w:hAnsi="Times New Roman"/>
          <w:sz w:val="20"/>
        </w:rPr>
        <w:t xml:space="preserve">The Board’s good-faith evaluation of Mr. Blundy’s candidacy remains ongoing. However, despite the Board’s collaborative approach, Mr. Blundy has refused to respond to follow-up questions that he and his counsel insisted the Company send. Instead, the Board was disappointed that rather than responding to these questions, BBRC has sought to pre-empt the Board’s process with today’s letter, which was circulated to the media before it was even sent to the Board, an action that we believe demonstrates a lack of interest in a constructive approach. </w:t>
      </w:r>
    </w:p>
    <w:p>
      <w:pPr>
        <w:pStyle w:val="TextBody"/>
        <w:bidi w:val="0"/>
        <w:spacing w:before="240" w:after="0"/>
        <w:jc w:val="left"/>
        <w:rPr>
          <w:rFonts w:ascii="Times New Roman" w:hAnsi="Times New Roman"/>
          <w:sz w:val="20"/>
        </w:rPr>
      </w:pPr>
      <w:r>
        <w:rPr>
          <w:rFonts w:ascii="Times New Roman" w:hAnsi="Times New Roman"/>
          <w:sz w:val="20"/>
        </w:rPr>
        <w:t xml:space="preserve">Nevertheless, the Board has consistently engaged with BBRC, welcomed Mr. Blundy’s input, and encouraged open communication. We remain committed to fulfilling our fiduciary duties to the Company and its shareholders, enhancing value and achieving outcomes that serve the best interests of all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VS&amp;Co is delivering significant outperformance and momentum under Hillary Super’s leadership and the Path to Potential strategy. </w:t>
      </w:r>
    </w:p>
    <w:p>
      <w:pPr>
        <w:pStyle w:val="TextBody"/>
        <w:bidi w:val="0"/>
        <w:spacing w:before="240" w:after="0"/>
        <w:jc w:val="left"/>
        <w:rPr>
          <w:rFonts w:ascii="Times New Roman" w:hAnsi="Times New Roman"/>
          <w:sz w:val="20"/>
        </w:rPr>
      </w:pPr>
      <w:r>
        <w:rPr>
          <w:rFonts w:ascii="Times New Roman" w:hAnsi="Times New Roman"/>
          <w:sz w:val="20"/>
        </w:rPr>
        <w:t xml:space="preserve">The Board brings extensive retail experience and since the spin-off from L Brands has added four new directors, including three independent directors and our CEO. Since the Board, under Donna James as Chair, took decisive action to appoint Hillary Super as the Company’s new CEO and the subsequent naming of new brand presidents and a new Chief Marketing and Customer Officer, the Company’s Path to Potential strategy has yielded outperformance and value creation for shareholders, as evidenced by our second quarter earnings, where we beat both sales and operating income guidance, drove gross margin expansion, and despite tariff headwinds, increased our full year sales guidance.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period since the Board appointed Super as CEO, the Company has delivered total shareholder returns of 89%, outperforming S&amp;P 1500 Specialty Retail Index by 78% and the peers used by research analysts by 91%.1 </w:t>
      </w:r>
    </w:p>
    <w:p>
      <w:pPr>
        <w:pStyle w:val="TextBody"/>
        <w:bidi w:val="0"/>
        <w:spacing w:before="240" w:after="0"/>
        <w:jc w:val="left"/>
        <w:rPr>
          <w:rFonts w:ascii="Times New Roman" w:hAnsi="Times New Roman"/>
          <w:sz w:val="20"/>
        </w:rPr>
      </w:pPr>
      <w:r>
        <w:rPr>
          <w:rFonts w:ascii="Times New Roman" w:hAnsi="Times New Roman"/>
          <w:sz w:val="20"/>
        </w:rPr>
        <w:t xml:space="preserve">As we enter the holiday season, VS&amp;Co is focused on capitalizing on this momentum and on continuing to deliver enhanced value for all shareholders. We appreciate BBRC’s investment in the Company and remain committed to transparent and collaborative communication with BBRC and all of our other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Victoria’s Secret </w:t>
      </w:r>
    </w:p>
    <w:p>
      <w:pPr>
        <w:pStyle w:val="TextBody"/>
        <w:bidi w:val="0"/>
        <w:spacing w:before="120" w:after="0"/>
        <w:jc w:val="left"/>
        <w:rPr>
          <w:rFonts w:ascii="Times New Roman" w:hAnsi="Times New Roman"/>
          <w:sz w:val="20"/>
        </w:rPr>
      </w:pPr>
      <w:r>
        <w:rPr>
          <w:rFonts w:ascii="Times New Roman" w:hAnsi="Times New Roman"/>
          <w:sz w:val="20"/>
        </w:rPr>
        <w:t xml:space="preserve">Victoria’s Secret &amp; Co. (NYSE: VSCO) is a specialty retailer of modern, fashion-inspired collections including signature bras, panties, lingerie, apparel, casual sleepwear, swim, lounge and sport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more than 1,380 retail stores in nearly 70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Under the Private Securities Litigation Reform Act of 1995 </w:t>
      </w:r>
    </w:p>
    <w:p>
      <w:pPr>
        <w:pStyle w:val="TextBody"/>
        <w:bidi w:val="0"/>
        <w:spacing w:before="120" w:after="0"/>
        <w:jc w:val="left"/>
        <w:rPr>
          <w:rFonts w:ascii="Times New Roman" w:hAnsi="Times New Roman"/>
          <w:sz w:val="20"/>
        </w:rPr>
      </w:pPr>
      <w:r>
        <w:rPr>
          <w:rFonts w:ascii="Times New Roman" w:hAnsi="Times New Roman"/>
          <w:sz w:val="20"/>
        </w:rPr>
        <w:t xml:space="preserve">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“forecast,”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inflation, and changes in consumer confidence and consumer spending patterns;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disruptions including pandemics or significant health hazards, severe weather conditions, natural disasters, terrorist activities, financial crises, political crises or other major events, or the prospect of these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in the global trade environment, including the imposition or threatened imposition of tariffs or other trade restrictions and any retaliatory measures imposed by impacted exporting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implement our strategic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arising from changes and turnover in company leadership or other key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develop and retain qualified associates and manage labor-related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traffic to our stores and the availability of suitable store locations on satisfactory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operate and expand internationally and related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operations and performance of our franchisees, licensees, wholesalers and joint venture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operate and grow our direct channel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reputation and the image and value of our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customers with marketing, advertising and promotional programs;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5"/>
        <w:gridCol w:w="10000"/>
      </w:tblGrid>
      <w:tr>
        <w:trPr/>
        <w:tc>
          <w:tcPr>
            <w:tcW w:w="205" w:type="dxa"/>
            <w:tcBorders/>
          </w:tcPr>
          <w:p>
            <w:pPr>
              <w:pStyle w:val="TableContents"/>
              <w:bidi w:val="0"/>
              <w:spacing w:before="0" w:after="283"/>
              <w:jc w:val="left"/>
              <w:rPr/>
            </w:pPr>
            <w:r>
              <w:rPr/>
              <w:t>1 </w:t>
            </w:r>
          </w:p>
        </w:tc>
        <w:tc>
          <w:tcPr>
            <w:tcW w:w="100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FactSet (11/03/25); </w:t>
            </w:r>
            <w:r>
              <w:rPr>
                <w:rFonts w:ascii="Times New Roman" w:hAnsi="Times New Roman"/>
                <w:b/>
                <w:sz w:val="20"/>
              </w:rPr>
              <w:t>Analyst Peer Group</w:t>
            </w:r>
            <w:r>
              <w:rPr>
                <w:rFonts w:ascii="Times New Roman" w:hAnsi="Times New Roman"/>
                <w:sz w:val="20"/>
              </w:rPr>
              <w:t xml:space="preserve">: Includes peers that at least one analyst references in research reports (from June); comprised of Abercrombie &amp; Fitch, American Eagle, Gap, Urban Outfitters, Levi, Buckle, Carter’s, Torrid, Lululemon, Aritzia, Bath &amp; Body Works, Capri, Dillard’s, Genesco, J.Jill, Kohl’s, Macy’s, The Children’s Place, Tilly’s, Tapestry, Zumiez, H&amp;M, Industria de Diseno Textil and Vera Bradley; </w:t>
            </w:r>
            <w:r>
              <w:rPr>
                <w:rFonts w:ascii="Times New Roman" w:hAnsi="Times New Roman"/>
                <w:b/>
                <w:sz w:val="20"/>
              </w:rPr>
              <w:t>S&amp;P Composite 1500 Specialty Retail Index</w:t>
            </w:r>
            <w:r>
              <w:rPr>
                <w:rFonts w:ascii="Times New Roman" w:hAnsi="Times New Roman"/>
                <w:sz w:val="20"/>
              </w:rPr>
              <w:t xml:space="preserve">: Point of comparison referenced by BBRC in public letter.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highly competitive nature of the retail industry and the segments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consumer acceptance of our products and our ability to manage the life cycle of our brands, remain current with fashion trends, and develop and launch new merchandise, product lines and brands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integrate acquired businesses and realize the benefits and synergies sought with such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incorporate artificial intelligence into our business operations successfully and ethically while effectively managing the associated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source materials and produce, distribute and sell merchandise on a global basis, including risks related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instability and geopolitical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hazards, severe weather and natural disasters;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health hazards and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disruptions in shipping and transportation and related pricing impacts;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3"/>
        <w:gridCol w:w="8268"/>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2"/>
        <w:gridCol w:w="8270"/>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due to labor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geographic concentration of production and distribution facilities in central Ohio and Southeast 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vendors to manufacture and deliver products in a timely manner, meet quality standards and comply with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freight, product input and energy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third-party service providers’ ability to implement and maintain information technology systems and to protect associated data and system availability against cybersecurity incidents and disruptions or failures of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security of customer, associate, third-party and company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price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activism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credit rating;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tax, trade and other regulatory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Securities and Exchange Commission on March 21, 2025.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file a proxy statement and accompanying </w:t>
      </w:r>
      <w:r>
        <w:rPr>
          <w:rFonts w:ascii="Times New Roman" w:hAnsi="Times New Roman"/>
          <w:b/>
          <w:sz w:val="20"/>
        </w:rPr>
        <w:t>WHITE</w:t>
      </w:r>
      <w:r>
        <w:rPr>
          <w:rFonts w:ascii="Times New Roman" w:hAnsi="Times New Roman"/>
          <w:sz w:val="20"/>
        </w:rPr>
        <w:t xml:space="preserve"> proxy card with the SEC in connection with the solicitation of proxies for the Company’s next meeting of stockholders (whether an annual or special meeting of stockholders) (the “Stockholder Meeting”). The Company’s stockholders are strongly encouraged to carefully read such proxy statement, accompanying </w:t>
      </w:r>
      <w:r>
        <w:rPr>
          <w:rFonts w:ascii="Times New Roman" w:hAnsi="Times New Roman"/>
          <w:b/>
          <w:sz w:val="20"/>
        </w:rPr>
        <w:t>WHITE</w:t>
      </w:r>
      <w:r>
        <w:rPr>
          <w:rFonts w:ascii="Times New Roman" w:hAnsi="Times New Roman"/>
          <w:sz w:val="20"/>
        </w:rPr>
        <w:t xml:space="preserve"> proxy card and the other documents filed with, or furnished to, the SEC in their entirety when they become available because they will contain important information. The Company’s stockholders will be able to obtain any proxy statement, any amendments or supplements to the proxy statement and the other documents filed or furnished by the Company with the SEC free of charge at the SEC’s website at www.sec.gov. Copies will also be available free of charge at the Company’s website at https://www.victoriassecretandco.com/investors/financial-information/sec-filings.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Information Regarding Participants </w:t>
      </w:r>
    </w:p>
    <w:p>
      <w:pPr>
        <w:pStyle w:val="TextBody"/>
        <w:bidi w:val="0"/>
        <w:spacing w:before="120" w:after="0"/>
        <w:jc w:val="left"/>
        <w:rPr/>
      </w:pPr>
      <w:r>
        <w:rPr>
          <w:rFonts w:ascii="Times New Roman" w:hAnsi="Times New Roman"/>
          <w:sz w:val="20"/>
        </w:rPr>
        <w:t xml:space="preserve">The Company, each of its directors (Irene Chang Britt, Sarah Davis, Donna James, Jacqueline Hernández, Rod Little, David McCreight, Mariam Naficy, Lauren Peters, Anne Sheehan and Hillary Super) and its Chief Financial and Operating Officer Scott Sekella will be “participants” (as defined in Section 14(a) of the Exchange Act) in the solicitation of proxies from the Company’s stockholders in connection with the matters to be considered at the Stockholder Meeting. Information about our named executive officers and our non-employee directors, as well as regarding the participants’ holdings of the Company’s securities, is set forth in the Company’s definitive proxy statement on Schedule 14A for the Company’s 2025 Annual Meeting of Shareholders, filed on April 28, 2025, and is available  </w:t>
      </w:r>
      <w:hyperlink r:id="rId2">
        <w:r>
          <w:rPr>
            <w:rStyle w:val="InternetLink"/>
            <w:rFonts w:ascii="Times New Roman" w:hAnsi="Times New Roman"/>
            <w:sz w:val="20"/>
          </w:rPr>
          <w:t>here</w:t>
        </w:r>
      </w:hyperlink>
      <w:r>
        <w:rPr>
          <w:rFonts w:ascii="Times New Roman" w:hAnsi="Times New Roman"/>
          <w:sz w:val="20"/>
        </w:rPr>
        <w:t xml:space="preserve">, in the sections entitled “Director Compensation,” “Compensation Discussion and Analysis” and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Beneficial Ownership of Shares.” Such information regarding the participants’ holdings of the Company’s securities is updated in the filings referenced below. Supplemental information regarding the participants’ holdings of the Company’s securities can be found in SEC filings on Initial Statements of Beneficial Ownership of Securities on Form 3 or Statements of Changes in Beneficial Ownership on Form 4 filed with the SEC on June 23, 2025 for Ms. Chang Britt (available </w:t>
      </w:r>
      <w:hyperlink r:id="rId3">
        <w:r>
          <w:rPr>
            <w:rStyle w:val="InternetLink"/>
            <w:rFonts w:ascii="Times New Roman" w:hAnsi="Times New Roman"/>
            <w:sz w:val="20"/>
          </w:rPr>
          <w:t>here</w:t>
        </w:r>
      </w:hyperlink>
      <w:r>
        <w:rPr>
          <w:rFonts w:ascii="Times New Roman" w:hAnsi="Times New Roman"/>
          <w:sz w:val="20"/>
        </w:rPr>
        <w:t>); June 23, 2025 for Ms. Davis (available </w:t>
      </w:r>
      <w:hyperlink r:id="rId4">
        <w:r>
          <w:rPr>
            <w:rStyle w:val="InternetLink"/>
            <w:rFonts w:ascii="Times New Roman" w:hAnsi="Times New Roman"/>
            <w:sz w:val="20"/>
          </w:rPr>
          <w:t>here</w:t>
        </w:r>
      </w:hyperlink>
      <w:r>
        <w:rPr>
          <w:rFonts w:ascii="Times New Roman" w:hAnsi="Times New Roman"/>
          <w:sz w:val="20"/>
        </w:rPr>
        <w:t xml:space="preserve">); June 23, 2025 for Ms. James (available  </w:t>
      </w:r>
      <w:hyperlink r:id="rId5">
        <w:r>
          <w:rPr>
            <w:rStyle w:val="InternetLink"/>
            <w:rFonts w:ascii="Times New Roman" w:hAnsi="Times New Roman"/>
            <w:sz w:val="20"/>
          </w:rPr>
          <w:t>here</w:t>
        </w:r>
      </w:hyperlink>
      <w:r>
        <w:rPr>
          <w:rFonts w:ascii="Times New Roman" w:hAnsi="Times New Roman"/>
          <w:sz w:val="20"/>
        </w:rPr>
        <w:t xml:space="preserve">); June 23, 2025 for Ms. Hernández (available  </w:t>
      </w:r>
      <w:hyperlink r:id="rId6">
        <w:r>
          <w:rPr>
            <w:rStyle w:val="InternetLink"/>
            <w:rFonts w:ascii="Times New Roman" w:hAnsi="Times New Roman"/>
            <w:sz w:val="20"/>
          </w:rPr>
          <w:t>here</w:t>
        </w:r>
      </w:hyperlink>
      <w:r>
        <w:rPr>
          <w:rFonts w:ascii="Times New Roman" w:hAnsi="Times New Roman"/>
          <w:sz w:val="20"/>
        </w:rPr>
        <w:t xml:space="preserve">); June 23, 2025 for Mr. Little (available  </w:t>
      </w:r>
      <w:hyperlink r:id="rId7">
        <w:r>
          <w:rPr>
            <w:rStyle w:val="InternetLink"/>
            <w:rFonts w:ascii="Times New Roman" w:hAnsi="Times New Roman"/>
            <w:sz w:val="20"/>
          </w:rPr>
          <w:t>here</w:t>
        </w:r>
      </w:hyperlink>
      <w:r>
        <w:rPr>
          <w:rFonts w:ascii="Times New Roman" w:hAnsi="Times New Roman"/>
          <w:sz w:val="20"/>
        </w:rPr>
        <w:t xml:space="preserve">); June 23, 2025 for Mr. McCreight (available  </w:t>
      </w:r>
      <w:hyperlink r:id="rId8">
        <w:r>
          <w:rPr>
            <w:rStyle w:val="InternetLink"/>
            <w:rFonts w:ascii="Times New Roman" w:hAnsi="Times New Roman"/>
            <w:sz w:val="20"/>
          </w:rPr>
          <w:t>here</w:t>
        </w:r>
      </w:hyperlink>
      <w:r>
        <w:rPr>
          <w:rFonts w:ascii="Times New Roman" w:hAnsi="Times New Roman"/>
          <w:sz w:val="20"/>
        </w:rPr>
        <w:t xml:space="preserve">); June 23, 2025 for Ms. Naficy (available  </w:t>
      </w:r>
      <w:hyperlink r:id="rId9">
        <w:r>
          <w:rPr>
            <w:rStyle w:val="InternetLink"/>
            <w:rFonts w:ascii="Times New Roman" w:hAnsi="Times New Roman"/>
            <w:sz w:val="20"/>
          </w:rPr>
          <w:t>here</w:t>
        </w:r>
      </w:hyperlink>
      <w:r>
        <w:rPr>
          <w:rFonts w:ascii="Times New Roman" w:hAnsi="Times New Roman"/>
          <w:sz w:val="20"/>
        </w:rPr>
        <w:t xml:space="preserve">); June 23, 2025 for Ms. Peters (available  </w:t>
      </w:r>
      <w:hyperlink r:id="rId10">
        <w:r>
          <w:rPr>
            <w:rStyle w:val="InternetLink"/>
            <w:rFonts w:ascii="Times New Roman" w:hAnsi="Times New Roman"/>
            <w:sz w:val="20"/>
          </w:rPr>
          <w:t>here</w:t>
        </w:r>
      </w:hyperlink>
      <w:r>
        <w:rPr>
          <w:rFonts w:ascii="Times New Roman" w:hAnsi="Times New Roman"/>
          <w:sz w:val="20"/>
        </w:rPr>
        <w:t xml:space="preserve">); June 23, 2025 for Ms. Sheehan (available  </w:t>
      </w:r>
      <w:hyperlink r:id="rId11">
        <w:r>
          <w:rPr>
            <w:rStyle w:val="InternetLink"/>
            <w:rFonts w:ascii="Times New Roman" w:hAnsi="Times New Roman"/>
            <w:sz w:val="20"/>
          </w:rPr>
          <w:t>here</w:t>
        </w:r>
      </w:hyperlink>
      <w:r>
        <w:rPr>
          <w:rFonts w:ascii="Times New Roman" w:hAnsi="Times New Roman"/>
          <w:sz w:val="20"/>
        </w:rPr>
        <w:t xml:space="preserve">); October 8, 2025 for Ms.  Super (available </w:t>
      </w:r>
      <w:hyperlink r:id="rId12">
        <w:r>
          <w:rPr>
            <w:rStyle w:val="InternetLink"/>
            <w:rFonts w:ascii="Times New Roman" w:hAnsi="Times New Roman"/>
            <w:sz w:val="20"/>
          </w:rPr>
          <w:t>here</w:t>
        </w:r>
      </w:hyperlink>
      <w:r>
        <w:rPr>
          <w:rFonts w:ascii="Times New Roman" w:hAnsi="Times New Roman"/>
          <w:sz w:val="20"/>
        </w:rPr>
        <w:t xml:space="preserve">); and September 5, 2025 for Mr.  Sekella (available </w:t>
      </w:r>
      <w:hyperlink r:id="rId13">
        <w:r>
          <w:rPr>
            <w:rStyle w:val="InternetLink"/>
            <w:rFonts w:ascii="Times New Roman" w:hAnsi="Times New Roman"/>
            <w:sz w:val="20"/>
          </w:rPr>
          <w:t>here</w:t>
        </w:r>
      </w:hyperlink>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filings are available on the Company’s website at https://www.victoriassecretandco.com/investors/financial-information/sec-filings or through the SEC’s website via the links referenced above. Updated information regarding the identity of potential participants, and their direct or indirect interests, by security holdings or otherwise, will be set forth in the Company’s proxy statement on Schedule 14A and other materials to be filed with the SEC in connection with the Stockholder Meeting.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please contact: </w:t>
      </w:r>
    </w:p>
    <w:p>
      <w:pPr>
        <w:pStyle w:val="TextBody"/>
        <w:bidi w:val="0"/>
        <w:spacing w:before="240" w:after="0"/>
        <w:jc w:val="left"/>
        <w:rPr>
          <w:rFonts w:ascii="Times New Roman" w:hAnsi="Times New Roman"/>
          <w:b/>
          <w:sz w:val="20"/>
        </w:rPr>
      </w:pPr>
      <w:r>
        <w:rPr>
          <w:rFonts w:ascii="Times New Roman" w:hAnsi="Times New Roman"/>
          <w:b/>
          <w:sz w:val="20"/>
        </w:rPr>
        <w:t xml:space="preserve">Victoria’s Secret &amp; Co.: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5"/>
        <w:gridCol w:w="120"/>
        <w:gridCol w:w="4970"/>
      </w:tblGrid>
      <w:tr>
        <w:trPr/>
        <w:tc>
          <w:tcPr>
            <w:tcW w:w="51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r>
      <w:tr>
        <w:trPr/>
        <w:tc>
          <w:tcPr>
            <w:tcW w:w="5115"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Investor Relations:</w:t>
            </w:r>
          </w:p>
        </w:tc>
        <w:tc>
          <w:tcPr>
            <w:tcW w:w="120" w:type="dxa"/>
            <w:tcBorders/>
            <w:vAlign w:val="bottom"/>
          </w:tcPr>
          <w:p>
            <w:pPr>
              <w:pStyle w:val="TableContents"/>
              <w:bidi w:val="0"/>
              <w:spacing w:before="0" w:after="283"/>
              <w:jc w:val="left"/>
              <w:rPr/>
            </w:pPr>
            <w:r>
              <w:rPr/>
              <w:t>  </w:t>
            </w:r>
          </w:p>
        </w:tc>
        <w:tc>
          <w:tcPr>
            <w:tcW w:w="4970" w:type="dxa"/>
            <w:tcBorders/>
            <w:vAlign w:val="bottom"/>
          </w:tcPr>
          <w:p>
            <w:pPr>
              <w:pStyle w:val="TableContents"/>
              <w:bidi w:val="0"/>
              <w:spacing w:before="0" w:after="283"/>
              <w:jc w:val="left"/>
              <w:rPr>
                <w:b/>
              </w:rPr>
            </w:pPr>
            <w:r>
              <w:rPr>
                <w:b/>
              </w:rPr>
              <w:t>Media Relations:</w:t>
            </w:r>
          </w:p>
        </w:tc>
      </w:tr>
      <w:tr>
        <w:trPr/>
        <w:tc>
          <w:tcPr>
            <w:tcW w:w="5115" w:type="dxa"/>
            <w:tcBorders/>
          </w:tcPr>
          <w:p>
            <w:pPr>
              <w:pStyle w:val="TableContents"/>
              <w:bidi w:val="0"/>
              <w:spacing w:before="0" w:after="0"/>
              <w:jc w:val="left"/>
              <w:rPr>
                <w:rFonts w:ascii="Times New Roman" w:hAnsi="Times New Roman"/>
                <w:sz w:val="20"/>
              </w:rPr>
            </w:pPr>
            <w:r>
              <w:rPr>
                <w:rFonts w:ascii="Times New Roman" w:hAnsi="Times New Roman"/>
                <w:sz w:val="20"/>
              </w:rPr>
              <w:t>Priya Trivedi</w:t>
            </w:r>
          </w:p>
        </w:tc>
        <w:tc>
          <w:tcPr>
            <w:tcW w:w="120" w:type="dxa"/>
            <w:tcBorders/>
            <w:vAlign w:val="bottom"/>
          </w:tcPr>
          <w:p>
            <w:pPr>
              <w:pStyle w:val="TableContents"/>
              <w:bidi w:val="0"/>
              <w:spacing w:before="0" w:after="283"/>
              <w:jc w:val="left"/>
              <w:rPr/>
            </w:pPr>
            <w:r>
              <w:rPr/>
              <w:t>  </w:t>
            </w:r>
          </w:p>
        </w:tc>
        <w:tc>
          <w:tcPr>
            <w:tcW w:w="4970" w:type="dxa"/>
            <w:tcBorders/>
            <w:vAlign w:val="bottom"/>
          </w:tcPr>
          <w:p>
            <w:pPr>
              <w:pStyle w:val="TableContents"/>
              <w:bidi w:val="0"/>
              <w:spacing w:before="0" w:after="283"/>
              <w:jc w:val="left"/>
              <w:rPr/>
            </w:pPr>
            <w:r>
              <w:rPr/>
              <w:t>Brooke Wilson</w:t>
            </w:r>
          </w:p>
        </w:tc>
      </w:tr>
      <w:tr>
        <w:trPr/>
        <w:tc>
          <w:tcPr>
            <w:tcW w:w="5115" w:type="dxa"/>
            <w:tcBorders/>
          </w:tcPr>
          <w:p>
            <w:pPr>
              <w:pStyle w:val="TableContents"/>
              <w:bidi w:val="0"/>
              <w:spacing w:before="0" w:after="0"/>
              <w:jc w:val="left"/>
              <w:rPr>
                <w:rFonts w:ascii="Times New Roman" w:hAnsi="Times New Roman"/>
                <w:sz w:val="20"/>
              </w:rPr>
            </w:pPr>
            <w:r>
              <w:rPr>
                <w:rFonts w:ascii="Times New Roman" w:hAnsi="Times New Roman"/>
                <w:sz w:val="20"/>
              </w:rPr>
              <w:t>investorrelations@victoria.com</w:t>
            </w:r>
          </w:p>
        </w:tc>
        <w:tc>
          <w:tcPr>
            <w:tcW w:w="120" w:type="dxa"/>
            <w:tcBorders/>
            <w:vAlign w:val="bottom"/>
          </w:tcPr>
          <w:p>
            <w:pPr>
              <w:pStyle w:val="TableContents"/>
              <w:bidi w:val="0"/>
              <w:spacing w:before="0" w:after="283"/>
              <w:jc w:val="left"/>
              <w:rPr/>
            </w:pPr>
            <w:r>
              <w:rPr/>
              <w:t>  </w:t>
            </w:r>
          </w:p>
        </w:tc>
        <w:tc>
          <w:tcPr>
            <w:tcW w:w="4970" w:type="dxa"/>
            <w:tcBorders/>
            <w:vAlign w:val="bottom"/>
          </w:tcPr>
          <w:p>
            <w:pPr>
              <w:pStyle w:val="TableContents"/>
              <w:bidi w:val="0"/>
              <w:spacing w:before="0" w:after="283"/>
              <w:jc w:val="left"/>
              <w:rPr/>
            </w:pPr>
            <w:r>
              <w:rPr/>
              <w:t>communications@victoria.com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56437/000119312525100634/d849679ddef14a.htm" TargetMode="External"/><Relationship Id="rId3" Type="http://schemas.openxmlformats.org/officeDocument/2006/relationships/hyperlink" Target="http://www.sec.gov/Archives/edgar/data/1502314/000122520825006136/xslF345X05/doc4.xml" TargetMode="External"/><Relationship Id="rId4" Type="http://schemas.openxmlformats.org/officeDocument/2006/relationships/hyperlink" Target="http://www.sec.gov/Archives/edgar/data/1856437/000122520825006137/xslF345X05/doc4.xml" TargetMode="External"/><Relationship Id="rId5" Type="http://schemas.openxmlformats.org/officeDocument/2006/relationships/hyperlink" Target="http://www.sec.gov/Archives/edgar/data/1197735/000122520825006139/xslF345X05/doc4.xml" TargetMode="External"/><Relationship Id="rId6" Type="http://schemas.openxmlformats.org/officeDocument/2006/relationships/hyperlink" Target="http://www.sec.gov/Archives/edgar/data/1848064/000122520825006138/xslF345X05/doc4.xml" TargetMode="External"/><Relationship Id="rId7" Type="http://schemas.openxmlformats.org/officeDocument/2006/relationships/hyperlink" Target="http://www.sec.gov/Archives/edgar/data/1604565/000122520825006140/xslF345X05/doc4.xml" TargetMode="External"/><Relationship Id="rId8" Type="http://schemas.openxmlformats.org/officeDocument/2006/relationships/hyperlink" Target="http://www.sec.gov/Archives/edgar/data/1440360/000122520825006141/xslF345X05/doc4.xml" TargetMode="External"/><Relationship Id="rId9" Type="http://schemas.openxmlformats.org/officeDocument/2006/relationships/hyperlink" Target="http://www.sec.gov/Archives/edgar/data/1597584/000122520825006142/xslF345X05/doc4.xml" TargetMode="External"/><Relationship Id="rId10" Type="http://schemas.openxmlformats.org/officeDocument/2006/relationships/hyperlink" Target="http://www.sec.gov/Archives/edgar/data/1198872/000122520825006143/xslF345X05/doc4.xml" TargetMode="External"/><Relationship Id="rId11" Type="http://schemas.openxmlformats.org/officeDocument/2006/relationships/hyperlink" Target="http://www.sec.gov/Archives/edgar/data/1776285/000122520825006144/xslF345X05/doc4.xml" TargetMode="External"/><Relationship Id="rId12" Type="http://schemas.openxmlformats.org/officeDocument/2006/relationships/hyperlink" Target="http://www.sec.gov/Archives/edgar/data/1856437/000122520825008547/xslF345X05/doc4.xml" TargetMode="External"/><Relationship Id="rId13" Type="http://schemas.openxmlformats.org/officeDocument/2006/relationships/hyperlink" Target="http://www.sec.gov/Archives/edgar/data/1856437/000122520825007804/xslF345X05/doc4.xml"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2320</Words>
  <Characters>13316</Characters>
  <CharactersWithSpaces>15725</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