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00" w:lineRule="exact"/>
        <w:rPr>
          <w:sz w:val="24"/>
          <w:szCs w:val="24"/>
          <w:color w:val="auto"/>
        </w:rPr>
      </w:pPr>
    </w:p>
    <w:p>
      <w:pPr>
        <w:spacing w:after="0" w:line="24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The WindAcre Partnership LLC</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2</w:t>
            </w:r>
          </w:p>
        </w:tc>
        <w:tc>
          <w:tcPr>
            <w:tcW w:w="7420" w:type="dxa"/>
            <w:vAlign w:val="bottom"/>
          </w:tcPr>
          <w:p>
            <w:pPr>
              <w:ind w:left="260"/>
              <w:spacing w:after="0" w:line="195"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p>
        </w:tc>
        <w:tc>
          <w:tcPr>
            <w:tcW w:w="2940" w:type="dxa"/>
            <w:vAlign w:val="bottom"/>
          </w:tcPr>
          <w:p>
            <w:pPr>
              <w:ind w:left="9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bl>
    <w:p>
      <w:pPr>
        <w:ind w:left="1160" w:hanging="659"/>
        <w:spacing w:after="0" w:line="182" w:lineRule="auto"/>
        <w:tabs>
          <w:tab w:leader="none" w:pos="1160" w:val="left"/>
        </w:tabs>
        <w:numPr>
          <w:ilvl w:val="0"/>
          <w:numId w:val="2"/>
        </w:numPr>
        <w:rPr>
          <w:rFonts w:ascii="Arial" w:cs="Arial" w:eastAsia="Arial" w:hAnsi="Arial"/>
          <w:sz w:val="51"/>
          <w:szCs w:val="51"/>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3"/>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Delaware</w:t>
      </w:r>
    </w:p>
    <w:p>
      <w:pPr>
        <w:ind w:left="3500" w:hanging="698"/>
        <w:spacing w:after="0" w:line="186" w:lineRule="auto"/>
        <w:tabs>
          <w:tab w:leader="none" w:pos="350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7,204,300</w:t>
            </w:r>
          </w:p>
        </w:tc>
        <w:tc>
          <w:tcPr>
            <w:tcW w:w="0" w:type="dxa"/>
            <w:vAlign w:val="bottom"/>
          </w:tcPr>
          <w:p>
            <w:pPr>
              <w:spacing w:after="0"/>
              <w:rPr>
                <w:sz w:val="1"/>
                <w:szCs w:val="1"/>
                <w:color w:val="auto"/>
              </w:rPr>
            </w:pPr>
          </w:p>
        </w:tc>
      </w:tr>
      <w:tr>
        <w:trPr>
          <w:trHeight w:val="182"/>
        </w:trPr>
        <w:tc>
          <w:tcPr>
            <w:tcW w:w="224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Arial" w:cs="Arial" w:eastAsia="Arial" w:hAnsi="Arial"/>
          <w:sz w:val="18"/>
          <w:szCs w:val="18"/>
          <w:color w:val="auto"/>
        </w:rPr>
        <w:t>7,204,300</w:t>
      </w:r>
    </w:p>
    <w:p>
      <w:pPr>
        <w:ind w:left="1160" w:hanging="659"/>
        <w:spacing w:after="0" w:line="186" w:lineRule="auto"/>
        <w:tabs>
          <w:tab w:leader="none" w:pos="1160" w:val="left"/>
        </w:tabs>
        <w:numPr>
          <w:ilvl w:val="0"/>
          <w:numId w:val="5"/>
        </w:numPr>
        <w:rPr>
          <w:rFonts w:ascii="Arial" w:cs="Arial" w:eastAsia="Arial" w:hAnsi="Arial"/>
          <w:sz w:val="28"/>
          <w:szCs w:val="28"/>
          <w:b w:val="1"/>
          <w:bCs w:val="1"/>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7,204,300</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10</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11</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12</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IA</w:t>
            </w:r>
          </w:p>
        </w:tc>
        <w:tc>
          <w:tcPr>
            <w:tcW w:w="0" w:type="dxa"/>
            <w:vAlign w:val="bottom"/>
          </w:tcPr>
          <w:p>
            <w:pPr>
              <w:spacing w:after="0"/>
              <w:rPr>
                <w:sz w:val="1"/>
                <w:szCs w:val="1"/>
                <w:color w:val="auto"/>
              </w:rPr>
            </w:pPr>
          </w:p>
        </w:tc>
      </w:tr>
      <w:tr>
        <w:trPr>
          <w:trHeight w:val="567"/>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060"/>
              <w:spacing w:after="0"/>
              <w:rPr>
                <w:sz w:val="20"/>
                <w:szCs w:val="20"/>
                <w:color w:val="auto"/>
              </w:rPr>
            </w:pPr>
            <w:r>
              <w:rPr>
                <w:rFonts w:ascii="Arial" w:cs="Arial" w:eastAsia="Arial" w:hAnsi="Arial"/>
                <w:sz w:val="18"/>
                <w:szCs w:val="18"/>
                <w:color w:val="auto"/>
              </w:rPr>
              <w:t>Page 2 of 8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42" w:right="319" w:bottom="1440" w:gutter="0" w:footer="0" w:header="0"/>
        </w:sectPr>
      </w:pPr>
    </w:p>
    <w:bookmarkStart w:id="2" w:name="page3"/>
    <w:bookmarkEnd w:id="2"/>
    <w:p>
      <w:pPr>
        <w:jc w:val="center"/>
        <w:ind w:left="1140"/>
        <w:spacing w:after="0"/>
        <w:rPr>
          <w:sz w:val="20"/>
          <w:szCs w:val="20"/>
          <w:color w:val="auto"/>
        </w:rPr>
      </w:pPr>
      <w:r>
        <w:rPr>
          <w:rFonts w:ascii="Arial" w:cs="Arial" w:eastAsia="Arial" w:hAnsi="Arial"/>
          <w:sz w:val="18"/>
          <w:szCs w:val="18"/>
          <w:b w:val="1"/>
          <w:bCs w:val="1"/>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18668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The WindAcre Partnership Master Fund, LP</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2</w:t>
            </w:r>
          </w:p>
        </w:tc>
        <w:tc>
          <w:tcPr>
            <w:tcW w:w="7420" w:type="dxa"/>
            <w:vAlign w:val="bottom"/>
          </w:tcPr>
          <w:p>
            <w:pPr>
              <w:ind w:left="260"/>
              <w:spacing w:after="0" w:line="195"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p>
        </w:tc>
        <w:tc>
          <w:tcPr>
            <w:tcW w:w="2940" w:type="dxa"/>
            <w:vAlign w:val="bottom"/>
          </w:tcPr>
          <w:p>
            <w:pPr>
              <w:ind w:left="9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bl>
    <w:p>
      <w:pPr>
        <w:ind w:left="1160" w:hanging="659"/>
        <w:spacing w:after="0" w:line="182" w:lineRule="auto"/>
        <w:tabs>
          <w:tab w:leader="none" w:pos="1160" w:val="left"/>
        </w:tabs>
        <w:numPr>
          <w:ilvl w:val="0"/>
          <w:numId w:val="6"/>
        </w:numPr>
        <w:rPr>
          <w:rFonts w:ascii="Arial" w:cs="Arial" w:eastAsia="Arial" w:hAnsi="Arial"/>
          <w:sz w:val="51"/>
          <w:szCs w:val="51"/>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7"/>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Cayman Islands</w:t>
      </w:r>
    </w:p>
    <w:p>
      <w:pPr>
        <w:ind w:left="3500" w:hanging="698"/>
        <w:spacing w:after="0" w:line="186" w:lineRule="auto"/>
        <w:tabs>
          <w:tab w:leader="none" w:pos="3500" w:val="left"/>
        </w:tabs>
        <w:numPr>
          <w:ilvl w:val="0"/>
          <w:numId w:val="8"/>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7,204,300</w:t>
            </w:r>
          </w:p>
        </w:tc>
        <w:tc>
          <w:tcPr>
            <w:tcW w:w="0" w:type="dxa"/>
            <w:vAlign w:val="bottom"/>
          </w:tcPr>
          <w:p>
            <w:pPr>
              <w:spacing w:after="0"/>
              <w:rPr>
                <w:sz w:val="1"/>
                <w:szCs w:val="1"/>
                <w:color w:val="auto"/>
              </w:rPr>
            </w:pPr>
          </w:p>
        </w:tc>
      </w:tr>
      <w:tr>
        <w:trPr>
          <w:trHeight w:val="182"/>
        </w:trPr>
        <w:tc>
          <w:tcPr>
            <w:tcW w:w="224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Arial" w:cs="Arial" w:eastAsia="Arial" w:hAnsi="Arial"/>
          <w:sz w:val="18"/>
          <w:szCs w:val="18"/>
          <w:color w:val="auto"/>
        </w:rPr>
        <w:t>7,204,300</w:t>
      </w:r>
    </w:p>
    <w:p>
      <w:pPr>
        <w:ind w:left="1160" w:hanging="659"/>
        <w:spacing w:after="0" w:line="186" w:lineRule="auto"/>
        <w:tabs>
          <w:tab w:leader="none" w:pos="1160" w:val="left"/>
        </w:tabs>
        <w:numPr>
          <w:ilvl w:val="0"/>
          <w:numId w:val="9"/>
        </w:numPr>
        <w:rPr>
          <w:rFonts w:ascii="Arial" w:cs="Arial" w:eastAsia="Arial" w:hAnsi="Arial"/>
          <w:sz w:val="28"/>
          <w:szCs w:val="28"/>
          <w:b w:val="1"/>
          <w:bCs w:val="1"/>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7,204,300</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10</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11</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12</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67"/>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060"/>
              <w:spacing w:after="0"/>
              <w:rPr>
                <w:sz w:val="20"/>
                <w:szCs w:val="20"/>
                <w:color w:val="auto"/>
              </w:rPr>
            </w:pPr>
            <w:r>
              <w:rPr>
                <w:rFonts w:ascii="Arial" w:cs="Arial" w:eastAsia="Arial" w:hAnsi="Arial"/>
                <w:sz w:val="18"/>
                <w:szCs w:val="18"/>
                <w:color w:val="auto"/>
              </w:rPr>
              <w:t>Page 3 of 8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42"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Snehal Rajnikant Amin</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2</w:t>
            </w:r>
          </w:p>
        </w:tc>
        <w:tc>
          <w:tcPr>
            <w:tcW w:w="7420" w:type="dxa"/>
            <w:vAlign w:val="bottom"/>
          </w:tcPr>
          <w:p>
            <w:pPr>
              <w:ind w:left="260"/>
              <w:spacing w:after="0" w:line="195"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p>
        </w:tc>
        <w:tc>
          <w:tcPr>
            <w:tcW w:w="2940" w:type="dxa"/>
            <w:vAlign w:val="bottom"/>
          </w:tcPr>
          <w:p>
            <w:pPr>
              <w:ind w:left="9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bl>
    <w:p>
      <w:pPr>
        <w:ind w:left="1160" w:hanging="659"/>
        <w:spacing w:after="0" w:line="182" w:lineRule="auto"/>
        <w:tabs>
          <w:tab w:leader="none" w:pos="1160" w:val="left"/>
        </w:tabs>
        <w:numPr>
          <w:ilvl w:val="0"/>
          <w:numId w:val="10"/>
        </w:numPr>
        <w:rPr>
          <w:rFonts w:ascii="Arial" w:cs="Arial" w:eastAsia="Arial" w:hAnsi="Arial"/>
          <w:sz w:val="51"/>
          <w:szCs w:val="51"/>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11"/>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USA</w:t>
      </w:r>
    </w:p>
    <w:p>
      <w:pPr>
        <w:ind w:left="3500" w:hanging="698"/>
        <w:spacing w:after="0" w:line="186" w:lineRule="auto"/>
        <w:tabs>
          <w:tab w:leader="none" w:pos="3500" w:val="left"/>
        </w:tabs>
        <w:numPr>
          <w:ilvl w:val="0"/>
          <w:numId w:val="12"/>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7,204,300</w:t>
            </w:r>
          </w:p>
        </w:tc>
        <w:tc>
          <w:tcPr>
            <w:tcW w:w="0" w:type="dxa"/>
            <w:vAlign w:val="bottom"/>
          </w:tcPr>
          <w:p>
            <w:pPr>
              <w:spacing w:after="0"/>
              <w:rPr>
                <w:sz w:val="1"/>
                <w:szCs w:val="1"/>
                <w:color w:val="auto"/>
              </w:rPr>
            </w:pPr>
          </w:p>
        </w:tc>
      </w:tr>
      <w:tr>
        <w:trPr>
          <w:trHeight w:val="182"/>
        </w:trPr>
        <w:tc>
          <w:tcPr>
            <w:tcW w:w="224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Arial" w:cs="Arial" w:eastAsia="Arial" w:hAnsi="Arial"/>
          <w:sz w:val="18"/>
          <w:szCs w:val="18"/>
          <w:color w:val="auto"/>
        </w:rPr>
        <w:t>7,204,300</w:t>
      </w:r>
    </w:p>
    <w:p>
      <w:pPr>
        <w:ind w:left="1160" w:hanging="659"/>
        <w:spacing w:after="0" w:line="186" w:lineRule="auto"/>
        <w:tabs>
          <w:tab w:leader="none" w:pos="1160" w:val="left"/>
        </w:tabs>
        <w:numPr>
          <w:ilvl w:val="0"/>
          <w:numId w:val="13"/>
        </w:numPr>
        <w:rPr>
          <w:rFonts w:ascii="Arial" w:cs="Arial" w:eastAsia="Arial" w:hAnsi="Arial"/>
          <w:sz w:val="28"/>
          <w:szCs w:val="28"/>
          <w:b w:val="1"/>
          <w:bCs w:val="1"/>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7,204,300</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10</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11</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12</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567"/>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060"/>
              <w:spacing w:after="0"/>
              <w:rPr>
                <w:sz w:val="20"/>
                <w:szCs w:val="20"/>
                <w:color w:val="auto"/>
              </w:rPr>
            </w:pPr>
            <w:r>
              <w:rPr>
                <w:rFonts w:ascii="Arial" w:cs="Arial" w:eastAsia="Arial" w:hAnsi="Arial"/>
                <w:sz w:val="18"/>
                <w:szCs w:val="18"/>
                <w:color w:val="auto"/>
              </w:rPr>
              <w:t>Page 4 of 8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42" w:right="31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color w:val="auto"/>
        </w:rPr>
        <w:t>Name of Issuer:</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VICTORIA’S SECRET &amp; CO. (the “Issuer”)</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 Limited Parkway East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Reynoldsburg, Ohio 43068</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This statement is being jointly filed by:</w:t>
      </w:r>
    </w:p>
    <w:p>
      <w:pPr>
        <w:spacing w:after="0" w:line="23" w:lineRule="exact"/>
        <w:rPr>
          <w:sz w:val="20"/>
          <w:szCs w:val="20"/>
          <w:color w:val="auto"/>
        </w:rPr>
      </w:pPr>
    </w:p>
    <w:p>
      <w:pPr>
        <w:ind w:left="1780" w:hanging="274"/>
        <w:spacing w:after="0"/>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WindAcre Partnership LLC, a Delaware limited liability company, (“WindAcre”)</w:t>
      </w:r>
    </w:p>
    <w:p>
      <w:pPr>
        <w:spacing w:after="0" w:line="9" w:lineRule="exact"/>
        <w:rPr>
          <w:rFonts w:ascii="Arial" w:cs="Arial" w:eastAsia="Arial" w:hAnsi="Arial"/>
          <w:sz w:val="18"/>
          <w:szCs w:val="18"/>
          <w:color w:val="auto"/>
        </w:rPr>
      </w:pPr>
    </w:p>
    <w:p>
      <w:pPr>
        <w:ind w:left="1780" w:hanging="274"/>
        <w:spacing w:after="0"/>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WindAcre Partnership Master Fund LP, an exempted limited partnership established in the Cayman Islands (“Master Fund”)</w:t>
      </w:r>
    </w:p>
    <w:p>
      <w:pPr>
        <w:spacing w:after="0" w:line="32" w:lineRule="exact"/>
        <w:rPr>
          <w:rFonts w:ascii="Arial" w:cs="Arial" w:eastAsia="Arial" w:hAnsi="Arial"/>
          <w:sz w:val="16"/>
          <w:szCs w:val="16"/>
          <w:color w:val="auto"/>
        </w:rPr>
      </w:pPr>
    </w:p>
    <w:p>
      <w:pPr>
        <w:ind w:left="1840" w:hanging="334"/>
        <w:spacing w:after="0" w:line="260" w:lineRule="auto"/>
        <w:tabs>
          <w:tab w:leader="none" w:pos="17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Snehal Rajnikant Amin, as the principal beneficial owner of The WindAcre Partnership LLC and the only beneficial owner holding more than 5% (“Mr. Amin”).</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p>
      <w:pPr>
        <w:spacing w:after="0" w:line="225" w:lineRule="exact"/>
        <w:rPr>
          <w:sz w:val="20"/>
          <w:szCs w:val="20"/>
          <w:color w:val="auto"/>
        </w:rPr>
      </w:pPr>
    </w:p>
    <w:p>
      <w:pPr>
        <w:jc w:val="both"/>
        <w:ind w:left="1140"/>
        <w:spacing w:after="0" w:line="263" w:lineRule="auto"/>
        <w:rPr>
          <w:sz w:val="20"/>
          <w:szCs w:val="20"/>
          <w:color w:val="auto"/>
        </w:rPr>
      </w:pPr>
      <w:r>
        <w:rPr>
          <w:rFonts w:ascii="Arial" w:cs="Arial" w:eastAsia="Arial" w:hAnsi="Arial"/>
          <w:sz w:val="18"/>
          <w:szCs w:val="18"/>
          <w:color w:val="auto"/>
        </w:rPr>
        <w:t>WindAcre serves as the investment manager of the Master Fund. Mr. Amin is the managing member of WindAcre. By virtue of these relationships, each of WindAcre and Mr. Amin may be deemed to beneficially own the Issuer’s Common Shares directly owned by the Master Fund.</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principal business address of WindAcre is 2200 Post Oak Blvd., Suite 1580, Houston, Texas 77056.</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principal business address of the Master Fund is Ogier Global (Cayman) Limited, 89 Nexus Way, Camana Bay,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Grand Cayman KY1-9009, Cayman Islands.</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7"/>
          <w:szCs w:val="17"/>
          <w:color w:val="auto"/>
        </w:rPr>
        <w:t>Citizenship: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Mr. Amin is a citizen of the United States of America.</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WindAcre is a limited liability company formed under the laws of the State of Delaware.</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Master Fund is an exempted company formed under the laws of the Cayman Islands.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$0.01 Par Value (“Common Shares” or “Shares”)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 926400102</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7" w:lineRule="exact"/>
        <w:rPr>
          <w:sz w:val="20"/>
          <w:szCs w:val="20"/>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x   An investment adviser in accordance with Rule 13d-1(b)(1)(ii)(E);</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20" w:hanging="778"/>
        <w:spacing w:after="0" w:line="250" w:lineRule="auto"/>
        <w:tabs>
          <w:tab w:leader="none" w:pos="15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w:t>
      </w: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 non-U.S. institution in accordance with Rule 240.13d-1(b)(1)(ii)(J);</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   Group, in accordance with Rule 240.13d-1(b)(1)(ii)(K). If filing as a non-U.S. institution in accordance with Rule 240.13d-1(b)</w:t>
      </w:r>
    </w:p>
    <w:p>
      <w:pPr>
        <w:spacing w:after="0" w:line="20" w:lineRule="exact"/>
        <w:rPr>
          <w:rFonts w:ascii="Arial" w:cs="Arial" w:eastAsia="Arial" w:hAnsi="Arial"/>
          <w:sz w:val="17"/>
          <w:szCs w:val="17"/>
          <w:color w:val="auto"/>
        </w:rPr>
      </w:pPr>
    </w:p>
    <w:p>
      <w:pPr>
        <w:ind w:left="1920"/>
        <w:spacing w:after="0"/>
        <w:rPr>
          <w:rFonts w:ascii="Arial" w:cs="Arial" w:eastAsia="Arial" w:hAnsi="Arial"/>
          <w:sz w:val="17"/>
          <w:szCs w:val="17"/>
          <w:color w:val="auto"/>
        </w:rPr>
      </w:pPr>
      <w:r>
        <w:rPr>
          <w:rFonts w:ascii="Arial" w:cs="Arial" w:eastAsia="Arial" w:hAnsi="Arial"/>
          <w:sz w:val="18"/>
          <w:szCs w:val="18"/>
          <w:color w:val="auto"/>
        </w:rPr>
        <w:t>(1)(ii)(J), please specify the type of institution: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32" w:lineRule="exact"/>
        <w:rPr>
          <w:sz w:val="20"/>
          <w:szCs w:val="20"/>
          <w:color w:val="auto"/>
        </w:rPr>
      </w:pPr>
    </w:p>
    <w:p>
      <w:pPr>
        <w:ind w:left="1140" w:hanging="457"/>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11" w:lineRule="exact"/>
        <w:rPr>
          <w:sz w:val="20"/>
          <w:szCs w:val="20"/>
          <w:color w:val="auto"/>
        </w:rPr>
      </w:pPr>
    </w:p>
    <w:p>
      <w:pPr>
        <w:jc w:val="both"/>
        <w:ind w:left="1500" w:right="1780"/>
        <w:spacing w:after="0" w:line="259" w:lineRule="auto"/>
        <w:rPr>
          <w:sz w:val="20"/>
          <w:szCs w:val="20"/>
          <w:color w:val="auto"/>
        </w:rPr>
      </w:pPr>
      <w:r>
        <w:rPr>
          <w:rFonts w:ascii="Arial" w:cs="Arial" w:eastAsia="Arial" w:hAnsi="Arial"/>
          <w:sz w:val="18"/>
          <w:szCs w:val="18"/>
          <w:color w:val="auto"/>
        </w:rPr>
        <w:t>The Master Fund owns 7,204,300 Shares of Ordinary Shares, consisting of 7,204,300 Shares of Ordinary Shares directly held. By virtue of their relationships with the Master Fund discussed in further detail in Item 2, each of WindAcre and Mr. Amin may be deemed to beneficially own the Shares owned by the Master Fund.</w:t>
      </w:r>
    </w:p>
    <w:p>
      <w:pPr>
        <w:spacing w:after="0" w:line="187" w:lineRule="exact"/>
        <w:rPr>
          <w:sz w:val="20"/>
          <w:szCs w:val="20"/>
          <w:color w:val="auto"/>
        </w:rPr>
      </w:pPr>
    </w:p>
    <w:p>
      <w:pPr>
        <w:jc w:val="both"/>
        <w:ind w:left="1500" w:right="1780"/>
        <w:spacing w:after="0" w:line="273" w:lineRule="auto"/>
        <w:rPr>
          <w:sz w:val="20"/>
          <w:szCs w:val="20"/>
          <w:color w:val="auto"/>
        </w:rPr>
      </w:pPr>
      <w:r>
        <w:rPr>
          <w:rFonts w:ascii="Arial" w:cs="Arial" w:eastAsia="Arial" w:hAnsi="Arial"/>
          <w:sz w:val="17"/>
          <w:szCs w:val="17"/>
          <w:color w:val="auto"/>
        </w:rPr>
        <w:t>This Schedule 13G reports an aggregate of 7,204,300 Shares of Ordinary Shares, consisting of 7,204,300 Shares of Ordinary Shares directly held. 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w:t>
      </w:r>
    </w:p>
    <w:p>
      <w:pPr>
        <w:spacing w:after="0" w:line="178" w:lineRule="exact"/>
        <w:rPr>
          <w:sz w:val="20"/>
          <w:szCs w:val="20"/>
          <w:color w:val="auto"/>
        </w:rPr>
      </w:pPr>
    </w:p>
    <w:p>
      <w:pPr>
        <w:ind w:left="1140" w:hanging="457"/>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jc w:val="both"/>
        <w:ind w:left="1500" w:right="1780"/>
        <w:spacing w:after="0" w:line="263" w:lineRule="auto"/>
        <w:rPr>
          <w:sz w:val="20"/>
          <w:szCs w:val="20"/>
          <w:color w:val="auto"/>
        </w:rPr>
      </w:pPr>
      <w:r>
        <w:rPr>
          <w:rFonts w:ascii="Arial" w:cs="Arial" w:eastAsia="Arial" w:hAnsi="Arial"/>
          <w:sz w:val="18"/>
          <w:szCs w:val="18"/>
          <w:color w:val="auto"/>
        </w:rPr>
        <w:t>The following ownership percentages are based on 88,592,885 Shares outstanding, which is comprised of 88,592,885 Ordinary Shares outstanding as of November 26, 2021, as reported in the Issuer’s Form 10-Q dated December 3, 2021.</w:t>
      </w:r>
    </w:p>
    <w:p>
      <w:pPr>
        <w:spacing w:after="0" w:line="184" w:lineRule="exact"/>
        <w:rPr>
          <w:sz w:val="20"/>
          <w:szCs w:val="20"/>
          <w:color w:val="auto"/>
        </w:rPr>
      </w:pPr>
    </w:p>
    <w:p>
      <w:pPr>
        <w:jc w:val="both"/>
        <w:ind w:left="1500" w:right="1780"/>
        <w:spacing w:after="0" w:line="257" w:lineRule="auto"/>
        <w:rPr>
          <w:sz w:val="20"/>
          <w:szCs w:val="20"/>
          <w:color w:val="auto"/>
        </w:rPr>
      </w:pPr>
      <w:r>
        <w:rPr>
          <w:rFonts w:ascii="Arial" w:cs="Arial" w:eastAsia="Arial" w:hAnsi="Arial"/>
          <w:sz w:val="18"/>
          <w:szCs w:val="18"/>
          <w:color w:val="auto"/>
        </w:rPr>
        <w:t>The 7,204,300 Shares owned by the Master Fund represent approximately 8.13% of the outstanding Shares. By virtue of its relationship with the Master Fund discussed in further detail in Item 2, WindAcre may be deemed to beneficially own 7,204,300 Shares, representing approximately 8.13% of the outstanding Shares and Mr. Amin may be deemed to beneficially own 7,204,300 Shares representing approximately 8.13% of the outstanding Shares.</w:t>
      </w:r>
    </w:p>
    <w:p>
      <w:pPr>
        <w:spacing w:after="0" w:line="188" w:lineRule="exact"/>
        <w:rPr>
          <w:sz w:val="20"/>
          <w:szCs w:val="20"/>
          <w:color w:val="auto"/>
        </w:rPr>
      </w:pPr>
    </w:p>
    <w:p>
      <w:pPr>
        <w:jc w:val="both"/>
        <w:ind w:left="1500" w:right="1800"/>
        <w:spacing w:after="0" w:line="277" w:lineRule="auto"/>
        <w:rPr>
          <w:sz w:val="20"/>
          <w:szCs w:val="20"/>
          <w:color w:val="auto"/>
        </w:rPr>
      </w:pPr>
      <w:r>
        <w:rPr>
          <w:rFonts w:ascii="Arial" w:cs="Arial" w:eastAsia="Arial" w:hAnsi="Arial"/>
          <w:sz w:val="18"/>
          <w:szCs w:val="18"/>
          <w:color w:val="auto"/>
        </w:rPr>
        <w:t>This schedule 13G reports an aggregate of 7,204,300 Shares, representing approximately 8.13% of the outstanding Shares.</w:t>
      </w:r>
    </w:p>
    <w:p>
      <w:pPr>
        <w:spacing w:after="0" w:line="170" w:lineRule="exact"/>
        <w:rPr>
          <w:sz w:val="20"/>
          <w:szCs w:val="20"/>
          <w:color w:val="auto"/>
        </w:rPr>
      </w:pPr>
    </w:p>
    <w:p>
      <w:pPr>
        <w:ind w:left="1140" w:hanging="457"/>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1580" w:right="6360" w:hanging="438"/>
        <w:spacing w:after="0" w:line="492" w:lineRule="auto"/>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w:t>
      </w:r>
    </w:p>
    <w:p>
      <w:pPr>
        <w:spacing w:after="0" w:line="1" w:lineRule="exact"/>
        <w:rPr>
          <w:rFonts w:ascii="Arial" w:cs="Arial" w:eastAsia="Arial" w:hAnsi="Arial"/>
          <w:sz w:val="18"/>
          <w:szCs w:val="18"/>
          <w:color w:val="auto"/>
        </w:rPr>
      </w:pPr>
    </w:p>
    <w:p>
      <w:pPr>
        <w:ind w:left="1580" w:hanging="438"/>
        <w:spacing w:after="0"/>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580" w:right="1840"/>
        <w:spacing w:after="0" w:line="277" w:lineRule="auto"/>
        <w:rPr>
          <w:rFonts w:ascii="Arial" w:cs="Arial" w:eastAsia="Arial" w:hAnsi="Arial"/>
          <w:sz w:val="18"/>
          <w:szCs w:val="18"/>
          <w:color w:val="auto"/>
        </w:rPr>
      </w:pPr>
      <w:r>
        <w:rPr>
          <w:rFonts w:ascii="Arial" w:cs="Arial" w:eastAsia="Arial" w:hAnsi="Arial"/>
          <w:sz w:val="18"/>
          <w:szCs w:val="18"/>
          <w:color w:val="auto"/>
        </w:rPr>
        <w:t>The Master Fund, WindAcre and Mr. Amin share the power to vote or direct the vote of the 7,204,300 Shares owned by the Master Fund.</w:t>
      </w:r>
    </w:p>
    <w:p>
      <w:pPr>
        <w:spacing w:after="0" w:line="170" w:lineRule="exact"/>
        <w:rPr>
          <w:rFonts w:ascii="Arial" w:cs="Arial" w:eastAsia="Arial" w:hAnsi="Arial"/>
          <w:sz w:val="18"/>
          <w:szCs w:val="18"/>
          <w:color w:val="auto"/>
        </w:rPr>
      </w:pPr>
    </w:p>
    <w:p>
      <w:pPr>
        <w:ind w:left="1580" w:right="5460" w:hanging="438"/>
        <w:spacing w:after="0" w:line="500" w:lineRule="auto"/>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w:t>
      </w:r>
    </w:p>
    <w:p>
      <w:pPr>
        <w:spacing w:after="0" w:line="1" w:lineRule="exact"/>
        <w:rPr>
          <w:rFonts w:ascii="Arial" w:cs="Arial" w:eastAsia="Arial" w:hAnsi="Arial"/>
          <w:sz w:val="18"/>
          <w:szCs w:val="18"/>
          <w:color w:val="auto"/>
        </w:rPr>
      </w:pPr>
    </w:p>
    <w:p>
      <w:pPr>
        <w:ind w:left="1580" w:hanging="438"/>
        <w:spacing w:after="0"/>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580" w:right="1780"/>
        <w:spacing w:after="0" w:line="277" w:lineRule="auto"/>
        <w:rPr>
          <w:rFonts w:ascii="Arial" w:cs="Arial" w:eastAsia="Arial" w:hAnsi="Arial"/>
          <w:sz w:val="18"/>
          <w:szCs w:val="18"/>
          <w:color w:val="auto"/>
        </w:rPr>
      </w:pPr>
      <w:r>
        <w:rPr>
          <w:rFonts w:ascii="Arial" w:cs="Arial" w:eastAsia="Arial" w:hAnsi="Arial"/>
          <w:sz w:val="18"/>
          <w:szCs w:val="18"/>
          <w:color w:val="auto"/>
        </w:rPr>
        <w:t>The Master Fund, WindAcre, and Mr. Amin share the power to dispose or direct the disposition of the 7,204,300 Shares owned by the Master Fund.</w:t>
      </w: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742" w:right="799" w:bottom="1440" w:gutter="0" w:footer="0" w:header="0"/>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b w:val="1"/>
          <w:bCs w:val="1"/>
          <w:color w:val="auto"/>
        </w:rPr>
        <w:t>The WindAcre Partnership Master Fund LP</w:t>
      </w: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The WindAcre Partnership LLC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 Investment Manager</w:t>
      </w:r>
    </w:p>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Snehal Amin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Snehal Amin</w:t>
      </w:r>
    </w:p>
    <w:p>
      <w:pPr>
        <w:spacing w:after="0" w:line="9"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tab/>
        <w:t>Managing Member of the Investment Manager</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4"/>
      <w:numFmt w:val="bullet"/>
      <w:start w:val="1"/>
    </w:lvl>
  </w:abstractNum>
  <w:abstractNum w:abstractNumId="3">
    <w:nsid w:val="1F16E9E8"/>
    <w:multiLevelType w:val="hybridMultilevel"/>
    <w:lvl w:ilvl="0">
      <w:lvlJc w:val="left"/>
      <w:lvlText w:val="5"/>
      <w:numFmt w:val="bullet"/>
      <w:start w:val="1"/>
    </w:lvl>
  </w:abstractNum>
  <w:abstractNum w:abstractNumId="4">
    <w:nsid w:val="1190CDE7"/>
    <w:multiLevelType w:val="hybridMultilevel"/>
    <w:lvl w:ilvl="0">
      <w:lvlJc w:val="left"/>
      <w:lvlText w:val="9"/>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5"/>
      <w:numFmt w:val="bullet"/>
      <w:start w:val="1"/>
    </w:lvl>
  </w:abstractNum>
  <w:abstractNum w:abstractNumId="8">
    <w:nsid w:val="109CF92E"/>
    <w:multiLevelType w:val="hybridMultilevel"/>
    <w:lvl w:ilvl="0">
      <w:lvlJc w:val="left"/>
      <w:lvlText w:val="9"/>
      <w:numFmt w:val="bullet"/>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4"/>
      <w:numFmt w:val="bullet"/>
      <w:start w:val="1"/>
    </w:lvl>
  </w:abstractNum>
  <w:abstractNum w:abstractNumId="11">
    <w:nsid w:val="1BEFD79F"/>
    <w:multiLevelType w:val="hybridMultilevel"/>
    <w:lvl w:ilvl="0">
      <w:lvlJc w:val="left"/>
      <w:lvlText w:val="5"/>
      <w:numFmt w:val="bullet"/>
      <w:start w:val="1"/>
    </w:lvl>
  </w:abstractNum>
  <w:abstractNum w:abstractNumId="12">
    <w:nsid w:val="41A7C4C9"/>
    <w:multiLevelType w:val="hybridMultilevel"/>
    <w:lvl w:ilvl="0">
      <w:lvlJc w:val="left"/>
      <w:lvlText w:val="9"/>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2022-02-14T15:12:24Z</dcterms:created>
  <dcterms:modified xsi:type="dcterms:W3CDTF">2022-02-14T15:12:24Z</dcterms:modified>
</cp:coreProperties>
</file>