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McAfee Melinda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 LIMITED PARKWAY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Victoria's Secret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VSCO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HR Off &amp; Chief Legal Off</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214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7"/>
                <w:szCs w:val="17"/>
                <w:color w:val="0000FF"/>
              </w:rPr>
              <w:t>REYNOLDSBURG OH</w:t>
            </w:r>
          </w:p>
        </w:tc>
        <w:tc>
          <w:tcPr>
            <w:tcW w:w="150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0000FF"/>
              </w:rPr>
              <w:t>43068</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20,256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179,395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acquired securities represent shares issued in settlement of performance share units granted on March 16, 2023 for which the Human Capital and Compensation Committee has certified achievement of performance.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includes 664 shares acquired under the Victoria's Secret &amp; Co. Associate Stock Purchase Plan that were exempt pursuant to Rule 16b-3.</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Robert J. Tannous,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9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for Melina</w:t>
      </w:r>
      <w:r>
        <w:rPr>
          <w:sz w:val="20"/>
          <w:szCs w:val="20"/>
          <w:color w:val="auto"/>
        </w:rPr>
        <w:tab/>
      </w: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McAfee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6977" TargetMode="External"/><Relationship Id="rId14"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2026-02-20T17:00:18Z</dcterms:created>
  <dcterms:modified xsi:type="dcterms:W3CDTF">2026-02-20T17:00:18Z</dcterms:modified>
</cp:coreProperties>
</file>