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926400102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19685</wp:posOffset>
            </wp:positionV>
            <wp:extent cx="1928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300" w:hanging="644"/>
        <w:spacing w:after="0"/>
        <w:tabs>
          <w:tab w:leader="none" w:pos="13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25" w:lineRule="exact"/>
        <w:rPr>
          <w:rFonts w:ascii="Wingdings" w:cs="Wingdings" w:eastAsia="Wingdings" w:hAnsi="Wingdings"/>
          <w:sz w:val="18"/>
          <w:szCs w:val="18"/>
          <w:b w:val="1"/>
          <w:bCs w:val="1"/>
          <w:color w:val="auto"/>
        </w:rPr>
      </w:pPr>
    </w:p>
    <w:p>
      <w:pPr>
        <w:ind w:left="1300" w:hanging="644"/>
        <w:spacing w:after="0"/>
        <w:tabs>
          <w:tab w:leader="none" w:pos="13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00" w:lineRule="exact"/>
        <w:rPr>
          <w:sz w:val="24"/>
          <w:szCs w:val="24"/>
          <w:color w:val="auto"/>
        </w:rPr>
      </w:pPr>
    </w:p>
    <w:p>
      <w:pPr>
        <w:spacing w:after="0" w:line="24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CUSIP No. 926400102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40575" cy="5177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517779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0" w:type="dxa"/>
            <w:vAlign w:val="bottom"/>
            <w:vMerge w:val="restart"/>
          </w:tcPr>
          <w:p>
            <w:pPr>
              <w:jc w:val="right"/>
              <w:ind w:right="78"/>
              <w:spacing w:after="0"/>
              <w:rPr>
                <w:sz w:val="20"/>
                <w:szCs w:val="20"/>
                <w:color w:val="auto"/>
              </w:rPr>
            </w:pPr>
            <w:r>
              <w:rPr>
                <w:rFonts w:ascii="Times New Roman" w:cs="Times New Roman" w:eastAsia="Times New Roman" w:hAnsi="Times New Roman"/>
                <w:sz w:val="32"/>
                <w:szCs w:val="32"/>
                <w:b w:val="1"/>
                <w:bCs w:val="1"/>
                <w:color w:val="auto"/>
              </w:rPr>
              <w:t>1</w:t>
            </w: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The WindAcre Partnership LLC</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900" w:type="dxa"/>
            <w:vAlign w:val="bottom"/>
            <w:vMerge w:val="restart"/>
          </w:tcPr>
          <w:p>
            <w:pPr>
              <w:jc w:val="right"/>
              <w:ind w:right="78"/>
              <w:spacing w:after="0"/>
              <w:rPr>
                <w:sz w:val="20"/>
                <w:szCs w:val="20"/>
                <w:color w:val="auto"/>
              </w:rPr>
            </w:pPr>
            <w:r>
              <w:rPr>
                <w:rFonts w:ascii="Times New Roman" w:cs="Times New Roman" w:eastAsia="Times New Roman" w:hAnsi="Times New Roman"/>
                <w:sz w:val="32"/>
                <w:szCs w:val="32"/>
                <w:b w:val="1"/>
                <w:bCs w:val="1"/>
                <w:color w:val="auto"/>
              </w:rPr>
              <w:t>2</w:t>
            </w:r>
          </w:p>
        </w:tc>
        <w:tc>
          <w:tcPr>
            <w:tcW w:w="74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40" w:type="dxa"/>
            <w:vAlign w:val="bottom"/>
          </w:tcPr>
          <w:p>
            <w:pPr>
              <w:ind w:left="920"/>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90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p>
        </w:tc>
        <w:tc>
          <w:tcPr>
            <w:tcW w:w="2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bl>
    <w:p>
      <w:pPr>
        <w:ind w:left="1160" w:hanging="659"/>
        <w:spacing w:after="0" w:line="182" w:lineRule="auto"/>
        <w:tabs>
          <w:tab w:leader="none" w:pos="1160" w:val="left"/>
        </w:tabs>
        <w:numPr>
          <w:ilvl w:val="0"/>
          <w:numId w:val="3"/>
        </w:numPr>
        <w:rPr>
          <w:rFonts w:ascii="Times New Roman" w:cs="Times New Roman" w:eastAsia="Times New Roman" w:hAnsi="Times New Roman"/>
          <w:sz w:val="51"/>
          <w:szCs w:val="51"/>
          <w:b w:val="1"/>
          <w:bCs w:val="1"/>
          <w:color w:val="auto"/>
          <w:vertAlign w:val="subscript"/>
        </w:rPr>
      </w:pPr>
      <w:r>
        <w:rPr>
          <w:rFonts w:ascii="Times New Roman" w:cs="Times New Roman" w:eastAsia="Times New Roman" w:hAnsi="Times New Roman"/>
          <w:sz w:val="16"/>
          <w:szCs w:val="16"/>
          <w:color w:val="auto"/>
        </w:rPr>
        <w:t>SEC USE ONLY</w:t>
      </w:r>
    </w:p>
    <w:p>
      <w:pPr>
        <w:spacing w:after="0" w:line="200" w:lineRule="exact"/>
        <w:rPr>
          <w:sz w:val="20"/>
          <w:szCs w:val="20"/>
          <w:color w:val="auto"/>
        </w:rPr>
      </w:pPr>
    </w:p>
    <w:p>
      <w:pPr>
        <w:spacing w:after="0" w:line="228" w:lineRule="exact"/>
        <w:rPr>
          <w:sz w:val="20"/>
          <w:szCs w:val="20"/>
          <w:color w:val="auto"/>
        </w:rPr>
      </w:pPr>
    </w:p>
    <w:p>
      <w:pPr>
        <w:ind w:left="1160" w:right="6440" w:hanging="659"/>
        <w:spacing w:after="0" w:line="180" w:lineRule="auto"/>
        <w:tabs>
          <w:tab w:leader="none" w:pos="1160" w:val="left"/>
        </w:tabs>
        <w:numPr>
          <w:ilvl w:val="0"/>
          <w:numId w:val="4"/>
        </w:numPr>
        <w:rPr>
          <w:rFonts w:ascii="Times New Roman" w:cs="Times New Roman" w:eastAsia="Times New Roman" w:hAnsi="Times New Roman"/>
          <w:sz w:val="60"/>
          <w:szCs w:val="60"/>
          <w:b w:val="1"/>
          <w:bCs w:val="1"/>
          <w:color w:val="auto"/>
          <w:vertAlign w:val="subscript"/>
        </w:rPr>
      </w:pPr>
      <w:r>
        <w:rPr>
          <w:rFonts w:ascii="Times New Roman" w:cs="Times New Roman" w:eastAsia="Times New Roman" w:hAnsi="Times New Roman"/>
          <w:sz w:val="17"/>
          <w:szCs w:val="17"/>
          <w:color w:val="auto"/>
        </w:rPr>
        <w:t>CITIZENSHIP OR PLACE OF ORGANIZATION Delaware</w:t>
      </w:r>
    </w:p>
    <w:p>
      <w:pPr>
        <w:ind w:left="3500" w:hanging="698"/>
        <w:spacing w:after="0" w:line="186" w:lineRule="auto"/>
        <w:tabs>
          <w:tab w:leader="none" w:pos="3500" w:val="left"/>
        </w:tabs>
        <w:numPr>
          <w:ilvl w:val="0"/>
          <w:numId w:val="5"/>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4"/>
          <w:szCs w:val="14"/>
          <w:color w:val="auto"/>
        </w:rPr>
        <w:t>SOLE VOTING POWER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5,588,190</w:t>
            </w:r>
          </w:p>
        </w:tc>
        <w:tc>
          <w:tcPr>
            <w:tcW w:w="0" w:type="dxa"/>
            <w:vAlign w:val="bottom"/>
          </w:tcPr>
          <w:p>
            <w:pPr>
              <w:spacing w:after="0"/>
              <w:rPr>
                <w:sz w:val="1"/>
                <w:szCs w:val="1"/>
                <w:color w:val="auto"/>
              </w:rPr>
            </w:pPr>
          </w:p>
        </w:tc>
      </w:tr>
      <w:tr>
        <w:trPr>
          <w:trHeight w:val="178"/>
        </w:trPr>
        <w:tc>
          <w:tcPr>
            <w:tcW w:w="11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1100" w:type="dxa"/>
            <w:vAlign w:val="bottom"/>
          </w:tcPr>
          <w:p>
            <w:pPr>
              <w:spacing w:after="0"/>
              <w:rPr>
                <w:sz w:val="15"/>
                <w:szCs w:val="15"/>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5,588,190</w:t>
            </w:r>
          </w:p>
        </w:tc>
        <w:tc>
          <w:tcPr>
            <w:tcW w:w="0" w:type="dxa"/>
            <w:vAlign w:val="bottom"/>
          </w:tcPr>
          <w:p>
            <w:pPr>
              <w:spacing w:after="0"/>
              <w:rPr>
                <w:sz w:val="1"/>
                <w:szCs w:val="1"/>
                <w:color w:val="auto"/>
              </w:rPr>
            </w:pPr>
          </w:p>
        </w:tc>
      </w:tr>
      <w:tr>
        <w:trPr>
          <w:trHeight w:val="228"/>
        </w:trPr>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79"/>
        </w:trPr>
        <w:tc>
          <w:tcPr>
            <w:tcW w:w="1160" w:type="dxa"/>
            <w:vAlign w:val="bottom"/>
            <w:tcBorders>
              <w:right w:val="single" w:sz="8" w:color="auto"/>
            </w:tcBorders>
            <w:vMerge w:val="continue"/>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5,588,190</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10</w:t>
            </w:r>
          </w:p>
        </w:tc>
        <w:tc>
          <w:tcPr>
            <w:tcW w:w="10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72"/>
        </w:trPr>
        <w:tc>
          <w:tcPr>
            <w:tcW w:w="1160" w:type="dxa"/>
            <w:vAlign w:val="bottom"/>
            <w:tcBorders>
              <w:right w:val="single" w:sz="8" w:color="auto"/>
            </w:tcBorders>
          </w:tcPr>
          <w:p>
            <w:pPr>
              <w:spacing w:after="0"/>
              <w:rPr>
                <w:sz w:val="6"/>
                <w:szCs w:val="6"/>
                <w:color w:val="auto"/>
              </w:rPr>
            </w:pPr>
          </w:p>
        </w:tc>
        <w:tc>
          <w:tcPr>
            <w:tcW w:w="10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Wingdings" w:cs="Wingdings" w:eastAsia="Wingdings" w:hAnsi="Wingdings"/>
                <w:sz w:val="18"/>
                <w:szCs w:val="18"/>
                <w:b w:val="1"/>
                <w:bCs w:val="1"/>
                <w:color w:val="auto"/>
              </w:rPr>
              <w:t>o</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60" w:type="dxa"/>
            <w:vAlign w:val="bottom"/>
            <w:tcBorders>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rPr>
              <w:t>11</w:t>
            </w:r>
          </w:p>
        </w:tc>
        <w:tc>
          <w:tcPr>
            <w:tcW w:w="10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72"/>
        </w:trPr>
        <w:tc>
          <w:tcPr>
            <w:tcW w:w="1160" w:type="dxa"/>
            <w:vAlign w:val="bottom"/>
            <w:tcBorders>
              <w:right w:val="single" w:sz="8" w:color="auto"/>
            </w:tcBorders>
          </w:tcPr>
          <w:p>
            <w:pPr>
              <w:spacing w:after="0"/>
              <w:rPr>
                <w:sz w:val="6"/>
                <w:szCs w:val="6"/>
                <w:color w:val="auto"/>
              </w:rPr>
            </w:pPr>
          </w:p>
        </w:tc>
        <w:tc>
          <w:tcPr>
            <w:tcW w:w="10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7.22%</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12</w:t>
            </w:r>
          </w:p>
        </w:tc>
        <w:tc>
          <w:tcPr>
            <w:tcW w:w="10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72"/>
        </w:trPr>
        <w:tc>
          <w:tcPr>
            <w:tcW w:w="1160" w:type="dxa"/>
            <w:vAlign w:val="bottom"/>
            <w:tcBorders>
              <w:right w:val="single" w:sz="8" w:color="auto"/>
            </w:tcBorders>
          </w:tcPr>
          <w:p>
            <w:pPr>
              <w:spacing w:after="0"/>
              <w:rPr>
                <w:sz w:val="6"/>
                <w:szCs w:val="6"/>
                <w:color w:val="auto"/>
              </w:rPr>
            </w:pPr>
          </w:p>
        </w:tc>
        <w:tc>
          <w:tcPr>
            <w:tcW w:w="10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IA</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1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Page 2 of 8 pages</w:t>
            </w:r>
          </w:p>
        </w:tc>
        <w:tc>
          <w:tcPr>
            <w:tcW w:w="0" w:type="dxa"/>
            <w:vAlign w:val="bottom"/>
          </w:tcPr>
          <w:p>
            <w:pPr>
              <w:spacing w:after="0"/>
              <w:rPr>
                <w:sz w:val="1"/>
                <w:szCs w:val="1"/>
                <w:color w:val="auto"/>
              </w:rPr>
            </w:pPr>
          </w:p>
        </w:tc>
      </w:tr>
    </w:tbl>
    <w:p>
      <w:pPr>
        <w:sectPr>
          <w:pgSz w:w="11900" w:h="16838" w:orient="portrait"/>
          <w:cols w:equalWidth="0" w:num="1">
            <w:col w:w="11260"/>
          </w:cols>
          <w:pgMar w:left="320" w:top="738" w:right="319" w:bottom="1440" w:gutter="0" w:footer="0" w:header="0"/>
        </w:sectPr>
      </w:pPr>
    </w:p>
    <w:bookmarkStart w:id="2" w:name="page3"/>
    <w:bookmarkEnd w:id="2"/>
    <w:p>
      <w:pPr>
        <w:jc w:val="center"/>
        <w:ind w:left="1140"/>
        <w:spacing w:after="0"/>
        <w:rPr>
          <w:sz w:val="20"/>
          <w:szCs w:val="20"/>
          <w:color w:val="auto"/>
        </w:rPr>
      </w:pPr>
      <w:r>
        <w:rPr>
          <w:rFonts w:ascii="Times New Roman" w:cs="Times New Roman" w:eastAsia="Times New Roman" w:hAnsi="Times New Roman"/>
          <w:sz w:val="18"/>
          <w:szCs w:val="18"/>
          <w:b w:val="1"/>
          <w:bCs w:val="1"/>
          <w:color w:val="auto"/>
        </w:rPr>
        <w:t>CUSIP No. 926400102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40575" cy="5177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517779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0" w:type="dxa"/>
            <w:vAlign w:val="bottom"/>
            <w:vMerge w:val="restart"/>
          </w:tcPr>
          <w:p>
            <w:pPr>
              <w:jc w:val="right"/>
              <w:ind w:right="78"/>
              <w:spacing w:after="0"/>
              <w:rPr>
                <w:sz w:val="20"/>
                <w:szCs w:val="20"/>
                <w:color w:val="auto"/>
              </w:rPr>
            </w:pPr>
            <w:r>
              <w:rPr>
                <w:rFonts w:ascii="Times New Roman" w:cs="Times New Roman" w:eastAsia="Times New Roman" w:hAnsi="Times New Roman"/>
                <w:sz w:val="32"/>
                <w:szCs w:val="32"/>
                <w:b w:val="1"/>
                <w:bCs w:val="1"/>
                <w:color w:val="auto"/>
              </w:rPr>
              <w:t>1</w:t>
            </w: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The WindAcre Partnership Master Fund, LP</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900" w:type="dxa"/>
            <w:vAlign w:val="bottom"/>
            <w:vMerge w:val="restart"/>
          </w:tcPr>
          <w:p>
            <w:pPr>
              <w:jc w:val="right"/>
              <w:ind w:right="78"/>
              <w:spacing w:after="0"/>
              <w:rPr>
                <w:sz w:val="20"/>
                <w:szCs w:val="20"/>
                <w:color w:val="auto"/>
              </w:rPr>
            </w:pPr>
            <w:r>
              <w:rPr>
                <w:rFonts w:ascii="Times New Roman" w:cs="Times New Roman" w:eastAsia="Times New Roman" w:hAnsi="Times New Roman"/>
                <w:sz w:val="32"/>
                <w:szCs w:val="32"/>
                <w:b w:val="1"/>
                <w:bCs w:val="1"/>
                <w:color w:val="auto"/>
              </w:rPr>
              <w:t>2</w:t>
            </w:r>
          </w:p>
        </w:tc>
        <w:tc>
          <w:tcPr>
            <w:tcW w:w="74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40" w:type="dxa"/>
            <w:vAlign w:val="bottom"/>
          </w:tcPr>
          <w:p>
            <w:pPr>
              <w:ind w:left="920"/>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90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p>
        </w:tc>
        <w:tc>
          <w:tcPr>
            <w:tcW w:w="2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bl>
    <w:p>
      <w:pPr>
        <w:ind w:left="1160" w:hanging="659"/>
        <w:spacing w:after="0" w:line="182" w:lineRule="auto"/>
        <w:tabs>
          <w:tab w:leader="none" w:pos="1160" w:val="left"/>
        </w:tabs>
        <w:numPr>
          <w:ilvl w:val="0"/>
          <w:numId w:val="6"/>
        </w:numPr>
        <w:rPr>
          <w:rFonts w:ascii="Times New Roman" w:cs="Times New Roman" w:eastAsia="Times New Roman" w:hAnsi="Times New Roman"/>
          <w:sz w:val="51"/>
          <w:szCs w:val="51"/>
          <w:b w:val="1"/>
          <w:bCs w:val="1"/>
          <w:color w:val="auto"/>
          <w:vertAlign w:val="subscript"/>
        </w:rPr>
      </w:pPr>
      <w:r>
        <w:rPr>
          <w:rFonts w:ascii="Times New Roman" w:cs="Times New Roman" w:eastAsia="Times New Roman" w:hAnsi="Times New Roman"/>
          <w:sz w:val="16"/>
          <w:szCs w:val="16"/>
          <w:color w:val="auto"/>
        </w:rPr>
        <w:t>SEC USE ONLY</w:t>
      </w:r>
    </w:p>
    <w:p>
      <w:pPr>
        <w:spacing w:after="0" w:line="200" w:lineRule="exact"/>
        <w:rPr>
          <w:sz w:val="20"/>
          <w:szCs w:val="20"/>
          <w:color w:val="auto"/>
        </w:rPr>
      </w:pPr>
    </w:p>
    <w:p>
      <w:pPr>
        <w:spacing w:after="0" w:line="228" w:lineRule="exact"/>
        <w:rPr>
          <w:sz w:val="20"/>
          <w:szCs w:val="20"/>
          <w:color w:val="auto"/>
        </w:rPr>
      </w:pPr>
    </w:p>
    <w:p>
      <w:pPr>
        <w:ind w:left="1160" w:right="6440" w:hanging="659"/>
        <w:spacing w:after="0" w:line="180" w:lineRule="auto"/>
        <w:tabs>
          <w:tab w:leader="none" w:pos="1160" w:val="left"/>
        </w:tabs>
        <w:numPr>
          <w:ilvl w:val="0"/>
          <w:numId w:val="7"/>
        </w:numPr>
        <w:rPr>
          <w:rFonts w:ascii="Times New Roman" w:cs="Times New Roman" w:eastAsia="Times New Roman" w:hAnsi="Times New Roman"/>
          <w:sz w:val="60"/>
          <w:szCs w:val="60"/>
          <w:b w:val="1"/>
          <w:bCs w:val="1"/>
          <w:color w:val="auto"/>
          <w:vertAlign w:val="subscript"/>
        </w:rPr>
      </w:pPr>
      <w:r>
        <w:rPr>
          <w:rFonts w:ascii="Times New Roman" w:cs="Times New Roman" w:eastAsia="Times New Roman" w:hAnsi="Times New Roman"/>
          <w:sz w:val="17"/>
          <w:szCs w:val="17"/>
          <w:color w:val="auto"/>
        </w:rPr>
        <w:t>CITIZENSHIP OR PLACE OF ORGANIZATION Cayman Islands</w:t>
      </w:r>
    </w:p>
    <w:p>
      <w:pPr>
        <w:ind w:left="3500" w:hanging="698"/>
        <w:spacing w:after="0" w:line="186" w:lineRule="auto"/>
        <w:tabs>
          <w:tab w:leader="none" w:pos="3500" w:val="left"/>
        </w:tabs>
        <w:numPr>
          <w:ilvl w:val="0"/>
          <w:numId w:val="8"/>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4"/>
          <w:szCs w:val="14"/>
          <w:color w:val="auto"/>
        </w:rPr>
        <w:t>SOLE VOTING POWER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5,588,190</w:t>
            </w:r>
          </w:p>
        </w:tc>
        <w:tc>
          <w:tcPr>
            <w:tcW w:w="0" w:type="dxa"/>
            <w:vAlign w:val="bottom"/>
          </w:tcPr>
          <w:p>
            <w:pPr>
              <w:spacing w:after="0"/>
              <w:rPr>
                <w:sz w:val="1"/>
                <w:szCs w:val="1"/>
                <w:color w:val="auto"/>
              </w:rPr>
            </w:pPr>
          </w:p>
        </w:tc>
      </w:tr>
      <w:tr>
        <w:trPr>
          <w:trHeight w:val="178"/>
        </w:trPr>
        <w:tc>
          <w:tcPr>
            <w:tcW w:w="11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1100" w:type="dxa"/>
            <w:vAlign w:val="bottom"/>
          </w:tcPr>
          <w:p>
            <w:pPr>
              <w:spacing w:after="0"/>
              <w:rPr>
                <w:sz w:val="15"/>
                <w:szCs w:val="15"/>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5,588,190</w:t>
            </w:r>
          </w:p>
        </w:tc>
        <w:tc>
          <w:tcPr>
            <w:tcW w:w="0" w:type="dxa"/>
            <w:vAlign w:val="bottom"/>
          </w:tcPr>
          <w:p>
            <w:pPr>
              <w:spacing w:after="0"/>
              <w:rPr>
                <w:sz w:val="1"/>
                <w:szCs w:val="1"/>
                <w:color w:val="auto"/>
              </w:rPr>
            </w:pPr>
          </w:p>
        </w:tc>
      </w:tr>
      <w:tr>
        <w:trPr>
          <w:trHeight w:val="228"/>
        </w:trPr>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79"/>
        </w:trPr>
        <w:tc>
          <w:tcPr>
            <w:tcW w:w="1160" w:type="dxa"/>
            <w:vAlign w:val="bottom"/>
            <w:tcBorders>
              <w:right w:val="single" w:sz="8" w:color="auto"/>
            </w:tcBorders>
            <w:vMerge w:val="continue"/>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5,588,190</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10</w:t>
            </w:r>
          </w:p>
        </w:tc>
        <w:tc>
          <w:tcPr>
            <w:tcW w:w="10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72"/>
        </w:trPr>
        <w:tc>
          <w:tcPr>
            <w:tcW w:w="1160" w:type="dxa"/>
            <w:vAlign w:val="bottom"/>
            <w:tcBorders>
              <w:right w:val="single" w:sz="8" w:color="auto"/>
            </w:tcBorders>
          </w:tcPr>
          <w:p>
            <w:pPr>
              <w:spacing w:after="0"/>
              <w:rPr>
                <w:sz w:val="6"/>
                <w:szCs w:val="6"/>
                <w:color w:val="auto"/>
              </w:rPr>
            </w:pPr>
          </w:p>
        </w:tc>
        <w:tc>
          <w:tcPr>
            <w:tcW w:w="10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Wingdings" w:cs="Wingdings" w:eastAsia="Wingdings" w:hAnsi="Wingdings"/>
                <w:sz w:val="18"/>
                <w:szCs w:val="18"/>
                <w:b w:val="1"/>
                <w:bCs w:val="1"/>
                <w:color w:val="auto"/>
              </w:rPr>
              <w:t>o</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60" w:type="dxa"/>
            <w:vAlign w:val="bottom"/>
            <w:tcBorders>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rPr>
              <w:t>11</w:t>
            </w:r>
          </w:p>
        </w:tc>
        <w:tc>
          <w:tcPr>
            <w:tcW w:w="10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72"/>
        </w:trPr>
        <w:tc>
          <w:tcPr>
            <w:tcW w:w="1160" w:type="dxa"/>
            <w:vAlign w:val="bottom"/>
            <w:tcBorders>
              <w:right w:val="single" w:sz="8" w:color="auto"/>
            </w:tcBorders>
          </w:tcPr>
          <w:p>
            <w:pPr>
              <w:spacing w:after="0"/>
              <w:rPr>
                <w:sz w:val="6"/>
                <w:szCs w:val="6"/>
                <w:color w:val="auto"/>
              </w:rPr>
            </w:pPr>
          </w:p>
        </w:tc>
        <w:tc>
          <w:tcPr>
            <w:tcW w:w="10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7.22%</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12</w:t>
            </w:r>
          </w:p>
        </w:tc>
        <w:tc>
          <w:tcPr>
            <w:tcW w:w="10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72"/>
        </w:trPr>
        <w:tc>
          <w:tcPr>
            <w:tcW w:w="1160" w:type="dxa"/>
            <w:vAlign w:val="bottom"/>
            <w:tcBorders>
              <w:right w:val="single" w:sz="8" w:color="auto"/>
            </w:tcBorders>
          </w:tcPr>
          <w:p>
            <w:pPr>
              <w:spacing w:after="0"/>
              <w:rPr>
                <w:sz w:val="6"/>
                <w:szCs w:val="6"/>
                <w:color w:val="auto"/>
              </w:rPr>
            </w:pPr>
          </w:p>
        </w:tc>
        <w:tc>
          <w:tcPr>
            <w:tcW w:w="10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1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Page 3 of 8 pages</w:t>
            </w:r>
          </w:p>
        </w:tc>
        <w:tc>
          <w:tcPr>
            <w:tcW w:w="0" w:type="dxa"/>
            <w:vAlign w:val="bottom"/>
          </w:tcPr>
          <w:p>
            <w:pPr>
              <w:spacing w:after="0"/>
              <w:rPr>
                <w:sz w:val="1"/>
                <w:szCs w:val="1"/>
                <w:color w:val="auto"/>
              </w:rPr>
            </w:pPr>
          </w:p>
        </w:tc>
      </w:tr>
    </w:tbl>
    <w:p>
      <w:pPr>
        <w:sectPr>
          <w:pgSz w:w="11900" w:h="16838" w:orient="portrait"/>
          <w:cols w:equalWidth="0" w:num="1">
            <w:col w:w="11260"/>
          </w:cols>
          <w:pgMar w:left="320" w:top="738" w:right="3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CUSIP No. 926400102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40575" cy="5177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517779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0" w:type="dxa"/>
            <w:vAlign w:val="bottom"/>
            <w:vMerge w:val="restart"/>
          </w:tcPr>
          <w:p>
            <w:pPr>
              <w:jc w:val="right"/>
              <w:ind w:right="78"/>
              <w:spacing w:after="0"/>
              <w:rPr>
                <w:sz w:val="20"/>
                <w:szCs w:val="20"/>
                <w:color w:val="auto"/>
              </w:rPr>
            </w:pPr>
            <w:r>
              <w:rPr>
                <w:rFonts w:ascii="Times New Roman" w:cs="Times New Roman" w:eastAsia="Times New Roman" w:hAnsi="Times New Roman"/>
                <w:sz w:val="32"/>
                <w:szCs w:val="32"/>
                <w:b w:val="1"/>
                <w:bCs w:val="1"/>
                <w:color w:val="auto"/>
              </w:rPr>
              <w:t>1</w:t>
            </w: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Snehal Rajnikant Amin</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900" w:type="dxa"/>
            <w:vAlign w:val="bottom"/>
            <w:vMerge w:val="restart"/>
          </w:tcPr>
          <w:p>
            <w:pPr>
              <w:jc w:val="right"/>
              <w:ind w:right="78"/>
              <w:spacing w:after="0"/>
              <w:rPr>
                <w:sz w:val="20"/>
                <w:szCs w:val="20"/>
                <w:color w:val="auto"/>
              </w:rPr>
            </w:pPr>
            <w:r>
              <w:rPr>
                <w:rFonts w:ascii="Times New Roman" w:cs="Times New Roman" w:eastAsia="Times New Roman" w:hAnsi="Times New Roman"/>
                <w:sz w:val="32"/>
                <w:szCs w:val="32"/>
                <w:b w:val="1"/>
                <w:bCs w:val="1"/>
                <w:color w:val="auto"/>
              </w:rPr>
              <w:t>2</w:t>
            </w:r>
          </w:p>
        </w:tc>
        <w:tc>
          <w:tcPr>
            <w:tcW w:w="74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40" w:type="dxa"/>
            <w:vAlign w:val="bottom"/>
          </w:tcPr>
          <w:p>
            <w:pPr>
              <w:ind w:left="920"/>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90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p>
        </w:tc>
        <w:tc>
          <w:tcPr>
            <w:tcW w:w="2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bl>
    <w:p>
      <w:pPr>
        <w:ind w:left="1160" w:hanging="659"/>
        <w:spacing w:after="0" w:line="182" w:lineRule="auto"/>
        <w:tabs>
          <w:tab w:leader="none" w:pos="1160" w:val="left"/>
        </w:tabs>
        <w:numPr>
          <w:ilvl w:val="0"/>
          <w:numId w:val="9"/>
        </w:numPr>
        <w:rPr>
          <w:rFonts w:ascii="Times New Roman" w:cs="Times New Roman" w:eastAsia="Times New Roman" w:hAnsi="Times New Roman"/>
          <w:sz w:val="51"/>
          <w:szCs w:val="51"/>
          <w:b w:val="1"/>
          <w:bCs w:val="1"/>
          <w:color w:val="auto"/>
          <w:vertAlign w:val="subscript"/>
        </w:rPr>
      </w:pPr>
      <w:r>
        <w:rPr>
          <w:rFonts w:ascii="Times New Roman" w:cs="Times New Roman" w:eastAsia="Times New Roman" w:hAnsi="Times New Roman"/>
          <w:sz w:val="16"/>
          <w:szCs w:val="16"/>
          <w:color w:val="auto"/>
        </w:rPr>
        <w:t>SEC USE ONLY</w:t>
      </w:r>
    </w:p>
    <w:p>
      <w:pPr>
        <w:spacing w:after="0" w:line="200" w:lineRule="exact"/>
        <w:rPr>
          <w:sz w:val="20"/>
          <w:szCs w:val="20"/>
          <w:color w:val="auto"/>
        </w:rPr>
      </w:pPr>
    </w:p>
    <w:p>
      <w:pPr>
        <w:spacing w:after="0" w:line="228" w:lineRule="exact"/>
        <w:rPr>
          <w:sz w:val="20"/>
          <w:szCs w:val="20"/>
          <w:color w:val="auto"/>
        </w:rPr>
      </w:pPr>
    </w:p>
    <w:p>
      <w:pPr>
        <w:ind w:left="1160" w:right="6440" w:hanging="659"/>
        <w:spacing w:after="0" w:line="180" w:lineRule="auto"/>
        <w:tabs>
          <w:tab w:leader="none" w:pos="1160" w:val="left"/>
        </w:tabs>
        <w:numPr>
          <w:ilvl w:val="0"/>
          <w:numId w:val="10"/>
        </w:numPr>
        <w:rPr>
          <w:rFonts w:ascii="Times New Roman" w:cs="Times New Roman" w:eastAsia="Times New Roman" w:hAnsi="Times New Roman"/>
          <w:sz w:val="60"/>
          <w:szCs w:val="60"/>
          <w:b w:val="1"/>
          <w:bCs w:val="1"/>
          <w:color w:val="auto"/>
          <w:vertAlign w:val="subscript"/>
        </w:rPr>
      </w:pPr>
      <w:r>
        <w:rPr>
          <w:rFonts w:ascii="Times New Roman" w:cs="Times New Roman" w:eastAsia="Times New Roman" w:hAnsi="Times New Roman"/>
          <w:sz w:val="17"/>
          <w:szCs w:val="17"/>
          <w:color w:val="auto"/>
        </w:rPr>
        <w:t>CITIZENSHIP OR PLACE OF ORGANIZATION USA</w:t>
      </w:r>
    </w:p>
    <w:p>
      <w:pPr>
        <w:ind w:left="3500" w:hanging="698"/>
        <w:spacing w:after="0" w:line="186" w:lineRule="auto"/>
        <w:tabs>
          <w:tab w:leader="none" w:pos="3500" w:val="left"/>
        </w:tabs>
        <w:numPr>
          <w:ilvl w:val="0"/>
          <w:numId w:val="11"/>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4"/>
          <w:szCs w:val="14"/>
          <w:color w:val="auto"/>
        </w:rPr>
        <w:t>SOLE VOTING POWER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5,588,190</w:t>
            </w:r>
          </w:p>
        </w:tc>
        <w:tc>
          <w:tcPr>
            <w:tcW w:w="0" w:type="dxa"/>
            <w:vAlign w:val="bottom"/>
          </w:tcPr>
          <w:p>
            <w:pPr>
              <w:spacing w:after="0"/>
              <w:rPr>
                <w:sz w:val="1"/>
                <w:szCs w:val="1"/>
                <w:color w:val="auto"/>
              </w:rPr>
            </w:pPr>
          </w:p>
        </w:tc>
      </w:tr>
      <w:tr>
        <w:trPr>
          <w:trHeight w:val="178"/>
        </w:trPr>
        <w:tc>
          <w:tcPr>
            <w:tcW w:w="11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1100" w:type="dxa"/>
            <w:vAlign w:val="bottom"/>
          </w:tcPr>
          <w:p>
            <w:pPr>
              <w:spacing w:after="0"/>
              <w:rPr>
                <w:sz w:val="15"/>
                <w:szCs w:val="15"/>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5,588,190</w:t>
            </w:r>
          </w:p>
        </w:tc>
        <w:tc>
          <w:tcPr>
            <w:tcW w:w="0" w:type="dxa"/>
            <w:vAlign w:val="bottom"/>
          </w:tcPr>
          <w:p>
            <w:pPr>
              <w:spacing w:after="0"/>
              <w:rPr>
                <w:sz w:val="1"/>
                <w:szCs w:val="1"/>
                <w:color w:val="auto"/>
              </w:rPr>
            </w:pPr>
          </w:p>
        </w:tc>
      </w:tr>
      <w:tr>
        <w:trPr>
          <w:trHeight w:val="228"/>
        </w:trPr>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79"/>
        </w:trPr>
        <w:tc>
          <w:tcPr>
            <w:tcW w:w="1160" w:type="dxa"/>
            <w:vAlign w:val="bottom"/>
            <w:tcBorders>
              <w:right w:val="single" w:sz="8" w:color="auto"/>
            </w:tcBorders>
            <w:vMerge w:val="continue"/>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5,588,190</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10</w:t>
            </w:r>
          </w:p>
        </w:tc>
        <w:tc>
          <w:tcPr>
            <w:tcW w:w="10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72"/>
        </w:trPr>
        <w:tc>
          <w:tcPr>
            <w:tcW w:w="1160" w:type="dxa"/>
            <w:vAlign w:val="bottom"/>
            <w:tcBorders>
              <w:right w:val="single" w:sz="8" w:color="auto"/>
            </w:tcBorders>
          </w:tcPr>
          <w:p>
            <w:pPr>
              <w:spacing w:after="0"/>
              <w:rPr>
                <w:sz w:val="6"/>
                <w:szCs w:val="6"/>
                <w:color w:val="auto"/>
              </w:rPr>
            </w:pPr>
          </w:p>
        </w:tc>
        <w:tc>
          <w:tcPr>
            <w:tcW w:w="10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8"/>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Wingdings" w:cs="Wingdings" w:eastAsia="Wingdings" w:hAnsi="Wingdings"/>
                <w:sz w:val="18"/>
                <w:szCs w:val="18"/>
                <w:b w:val="1"/>
                <w:bCs w:val="1"/>
                <w:color w:val="auto"/>
              </w:rPr>
              <w:t>o</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60" w:type="dxa"/>
            <w:vAlign w:val="bottom"/>
            <w:tcBorders>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rPr>
              <w:t>11</w:t>
            </w:r>
          </w:p>
        </w:tc>
        <w:tc>
          <w:tcPr>
            <w:tcW w:w="10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72"/>
        </w:trPr>
        <w:tc>
          <w:tcPr>
            <w:tcW w:w="1160" w:type="dxa"/>
            <w:vAlign w:val="bottom"/>
            <w:tcBorders>
              <w:right w:val="single" w:sz="8" w:color="auto"/>
            </w:tcBorders>
          </w:tcPr>
          <w:p>
            <w:pPr>
              <w:spacing w:after="0"/>
              <w:rPr>
                <w:sz w:val="6"/>
                <w:szCs w:val="6"/>
                <w:color w:val="auto"/>
              </w:rPr>
            </w:pPr>
          </w:p>
        </w:tc>
        <w:tc>
          <w:tcPr>
            <w:tcW w:w="10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7.22%</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12</w:t>
            </w:r>
          </w:p>
        </w:tc>
        <w:tc>
          <w:tcPr>
            <w:tcW w:w="10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72"/>
        </w:trPr>
        <w:tc>
          <w:tcPr>
            <w:tcW w:w="1160" w:type="dxa"/>
            <w:vAlign w:val="bottom"/>
            <w:tcBorders>
              <w:right w:val="single" w:sz="8" w:color="auto"/>
            </w:tcBorders>
          </w:tcPr>
          <w:p>
            <w:pPr>
              <w:spacing w:after="0"/>
              <w:rPr>
                <w:sz w:val="6"/>
                <w:szCs w:val="6"/>
                <w:color w:val="auto"/>
              </w:rPr>
            </w:pPr>
          </w:p>
        </w:tc>
        <w:tc>
          <w:tcPr>
            <w:tcW w:w="10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11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w:t>
            </w: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1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Page 4 of 8 pages</w:t>
            </w:r>
          </w:p>
        </w:tc>
        <w:tc>
          <w:tcPr>
            <w:tcW w:w="0" w:type="dxa"/>
            <w:vAlign w:val="bottom"/>
          </w:tcPr>
          <w:p>
            <w:pPr>
              <w:spacing w:after="0"/>
              <w:rPr>
                <w:sz w:val="1"/>
                <w:szCs w:val="1"/>
                <w:color w:val="auto"/>
              </w:rPr>
            </w:pPr>
          </w:p>
        </w:tc>
      </w:tr>
    </w:tbl>
    <w:p>
      <w:pPr>
        <w:sectPr>
          <w:pgSz w:w="11900" w:h="16838" w:orient="portrait"/>
          <w:cols w:equalWidth="0" w:num="1">
            <w:col w:w="11260"/>
          </w:cols>
          <w:pgMar w:left="320" w:top="738" w:right="319" w:bottom="1440" w:gutter="0" w:footer="0" w:header="0"/>
        </w:sectPr>
      </w:pPr>
    </w:p>
    <w:bookmarkStart w:id="4" w:name="page5"/>
    <w:bookmarkEnd w:id="4"/>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color w:val="auto"/>
        </w:rPr>
        <w:t>Name of Issuer:</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VICTORIA’S SECRET &amp; CO. (the “Issuer”)</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color w:val="auto"/>
        </w:rPr>
        <w:t>Address of Issuer’s Principal Executive Offices:</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4 Limited Parkway East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Reynoldsburg, Ohio 43068</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color w:val="auto"/>
        </w:rPr>
        <w:t>Name of Person Filing:</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This statement is being jointly filed by:</w:t>
      </w:r>
    </w:p>
    <w:p>
      <w:pPr>
        <w:spacing w:after="0" w:line="27" w:lineRule="exact"/>
        <w:rPr>
          <w:sz w:val="20"/>
          <w:szCs w:val="20"/>
          <w:color w:val="auto"/>
        </w:rPr>
      </w:pPr>
    </w:p>
    <w:p>
      <w:pPr>
        <w:ind w:left="1780" w:hanging="274"/>
        <w:spacing w:after="0"/>
        <w:tabs>
          <w:tab w:leader="none" w:pos="1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WindAcre Partnership LLC, a Delaware limited liability company, (“WindAcre”)</w:t>
      </w:r>
    </w:p>
    <w:p>
      <w:pPr>
        <w:spacing w:after="0" w:line="9" w:lineRule="exact"/>
        <w:rPr>
          <w:rFonts w:ascii="Times New Roman" w:cs="Times New Roman" w:eastAsia="Times New Roman" w:hAnsi="Times New Roman"/>
          <w:sz w:val="18"/>
          <w:szCs w:val="18"/>
          <w:color w:val="auto"/>
        </w:rPr>
      </w:pPr>
    </w:p>
    <w:p>
      <w:pPr>
        <w:ind w:left="1780" w:hanging="274"/>
        <w:spacing w:after="0"/>
        <w:tabs>
          <w:tab w:leader="none" w:pos="1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WindAcre Partnership Master Fund LP, an exempted limited partnership established in the Cayman Islands (“Master Fund”)</w:t>
      </w:r>
    </w:p>
    <w:p>
      <w:pPr>
        <w:spacing w:after="0" w:line="9" w:lineRule="exact"/>
        <w:rPr>
          <w:rFonts w:ascii="Times New Roman" w:cs="Times New Roman" w:eastAsia="Times New Roman" w:hAnsi="Times New Roman"/>
          <w:sz w:val="18"/>
          <w:szCs w:val="18"/>
          <w:color w:val="auto"/>
        </w:rPr>
      </w:pPr>
    </w:p>
    <w:p>
      <w:pPr>
        <w:ind w:left="1840" w:hanging="334"/>
        <w:spacing w:after="0" w:line="260" w:lineRule="auto"/>
        <w:tabs>
          <w:tab w:leader="none" w:pos="17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Snehal Rajnikant Amin, as the principal beneficial owner of The WindAcre Partnership LLC and the only beneficial owner holding more than 5% (“Mr. Amin”).</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Each of the foregoing is referred to as a “Reporting Person” and collectively as the “Reporting Persons.”</w:t>
      </w:r>
    </w:p>
    <w:p>
      <w:pPr>
        <w:spacing w:after="0" w:line="225" w:lineRule="exact"/>
        <w:rPr>
          <w:sz w:val="20"/>
          <w:szCs w:val="20"/>
          <w:color w:val="auto"/>
        </w:rPr>
      </w:pPr>
    </w:p>
    <w:p>
      <w:pPr>
        <w:jc w:val="both"/>
        <w:ind w:left="1140"/>
        <w:spacing w:after="0" w:line="266" w:lineRule="auto"/>
        <w:rPr>
          <w:sz w:val="20"/>
          <w:szCs w:val="20"/>
          <w:color w:val="auto"/>
        </w:rPr>
      </w:pPr>
      <w:r>
        <w:rPr>
          <w:rFonts w:ascii="Times New Roman" w:cs="Times New Roman" w:eastAsia="Times New Roman" w:hAnsi="Times New Roman"/>
          <w:sz w:val="18"/>
          <w:szCs w:val="18"/>
          <w:color w:val="auto"/>
        </w:rPr>
        <w:t>WindAcre serves as the investment manager of the Master Fund. Mr. Amin is the managing member of WindAcre. By virtue of these relationships, each of WindAcre and Mr. Amin may be deemed to beneficially own the Issuer’s Common Shares directly owned by the Master Fund.</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color w:val="auto"/>
        </w:rPr>
        <w:t>Address of Principal Business Office or, if none, Residence:</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principal business address of WindAcre is 2200 Post Oak Blvd., Suite 1580, Houston, Texas 77056.</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principal business address of the Master Fund is Ogier Global (Cayman) Limited, 89 Nexus Way, Camana Bay,</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Grand Cayman KY1-9009, Cayman Islands.</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color w:val="auto"/>
        </w:rPr>
        <w:t>Citizenship:</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Mr. Amin is a citizen of the United States of America.</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WindAcre is a limited liability company formed under the laws of the State of Delaware.</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Master Fund is an exempted company formed under the laws of the Cayman Islands.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Common Stock, $0.01 Par Value (“Common Shares” or “Shares”)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color w:val="auto"/>
        </w:rPr>
        <w:t>CUSIP Number: 926400102</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31" w:lineRule="exact"/>
        <w:rPr>
          <w:sz w:val="20"/>
          <w:szCs w:val="20"/>
          <w:color w:val="auto"/>
        </w:rPr>
      </w:pPr>
    </w:p>
    <w:p>
      <w:pPr>
        <w:ind w:left="1600" w:hanging="458"/>
        <w:spacing w:after="0"/>
        <w:tabs>
          <w:tab w:leader="none" w:pos="160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w:t>
      </w:r>
    </w:p>
    <w:p>
      <w:pPr>
        <w:spacing w:after="0" w:line="9"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w:t>
      </w:r>
    </w:p>
    <w:p>
      <w:pPr>
        <w:spacing w:after="0" w:line="9"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w:t>
      </w:r>
    </w:p>
    <w:p>
      <w:pPr>
        <w:spacing w:after="0" w:line="9"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w:t>
      </w:r>
    </w:p>
    <w:p>
      <w:pPr>
        <w:spacing w:after="0" w:line="9"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An investment adviser in accordance with Rule 13d-1(b)(1)(ii)(E);</w:t>
      </w:r>
    </w:p>
    <w:p>
      <w:pPr>
        <w:spacing w:after="0" w:line="9"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Rule 13d-1(b)(1)(ii)(F);</w:t>
      </w:r>
    </w:p>
    <w:p>
      <w:pPr>
        <w:spacing w:after="0" w:line="9"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Rule 13d-1(b)(1)(ii)(G);</w:t>
      </w:r>
    </w:p>
    <w:p>
      <w:pPr>
        <w:spacing w:after="0" w:line="9"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1920" w:hanging="778"/>
        <w:spacing w:after="0" w:line="250" w:lineRule="auto"/>
        <w:tabs>
          <w:tab w:leader="none" w:pos="1596"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Act of 1940;</w:t>
      </w:r>
    </w:p>
    <w:p>
      <w:pPr>
        <w:ind w:left="1600" w:hanging="458"/>
        <w:spacing w:after="0"/>
        <w:tabs>
          <w:tab w:leader="none" w:pos="160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Rule 240.13d-1(b)(1)(ii)(J);</w:t>
      </w:r>
    </w:p>
    <w:p>
      <w:pPr>
        <w:spacing w:after="0" w:line="9"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Rule 240.13d-1(b)(1)(ii)(K). If filing as a non-U.S. institution in accordance with Rule 240.13d-1(b)</w:t>
      </w:r>
    </w:p>
    <w:p>
      <w:pPr>
        <w:spacing w:after="0" w:line="9"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(1)(ii)(J), please specify the type of institution:</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Provide the following information regarding the aggregate number and percentage of the class of securities of the issuer identified in Item 1.</w:t>
      </w:r>
    </w:p>
    <w:p>
      <w:pPr>
        <w:spacing w:after="0" w:line="21" w:lineRule="exact"/>
        <w:rPr>
          <w:sz w:val="20"/>
          <w:szCs w:val="20"/>
          <w:color w:val="auto"/>
        </w:rPr>
      </w:pPr>
    </w:p>
    <w:p>
      <w:pPr>
        <w:ind w:left="1140" w:hanging="457"/>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07" w:lineRule="exact"/>
        <w:rPr>
          <w:sz w:val="20"/>
          <w:szCs w:val="20"/>
          <w:color w:val="auto"/>
        </w:rPr>
      </w:pPr>
    </w:p>
    <w:p>
      <w:pPr>
        <w:jc w:val="both"/>
        <w:ind w:left="1500" w:right="1780"/>
        <w:spacing w:after="0" w:line="261" w:lineRule="auto"/>
        <w:rPr>
          <w:sz w:val="20"/>
          <w:szCs w:val="20"/>
          <w:color w:val="auto"/>
        </w:rPr>
      </w:pPr>
      <w:r>
        <w:rPr>
          <w:rFonts w:ascii="Times New Roman" w:cs="Times New Roman" w:eastAsia="Times New Roman" w:hAnsi="Times New Roman"/>
          <w:sz w:val="18"/>
          <w:szCs w:val="18"/>
          <w:color w:val="auto"/>
        </w:rPr>
        <w:t>The Master Fund owns 5,588,190 Shares of Ordinary Shares, consisting of 5,588,190 Shares of Ordinary Shares directly held. By virtue of their relationships with the Master Fund discussed in further detail in Item 2, each of WindAcre and Mr. Amin may be deemed to beneficially own the Shares owned by the Master Fund.</w:t>
      </w:r>
    </w:p>
    <w:p>
      <w:pPr>
        <w:spacing w:after="0" w:line="180" w:lineRule="exact"/>
        <w:rPr>
          <w:sz w:val="20"/>
          <w:szCs w:val="20"/>
          <w:color w:val="auto"/>
        </w:rPr>
      </w:pPr>
    </w:p>
    <w:p>
      <w:pPr>
        <w:jc w:val="both"/>
        <w:ind w:left="1500" w:right="1780"/>
        <w:spacing w:after="0" w:line="256" w:lineRule="auto"/>
        <w:rPr>
          <w:sz w:val="20"/>
          <w:szCs w:val="20"/>
          <w:color w:val="auto"/>
        </w:rPr>
      </w:pPr>
      <w:r>
        <w:rPr>
          <w:rFonts w:ascii="Times New Roman" w:cs="Times New Roman" w:eastAsia="Times New Roman" w:hAnsi="Times New Roman"/>
          <w:sz w:val="18"/>
          <w:szCs w:val="18"/>
          <w:color w:val="auto"/>
        </w:rPr>
        <w:t>This Schedule 13G reports an aggregate of 5,588,190 Shares of Ordinary Shares, consisting of 5,588,190 Shares of Ordinary Shares directly held. The filing of this Schedule 13G shall not be construed as an admission that the Reporting Persons are, for purposes of Section 13(d) of the Securities Exchange Act of 1934, as amended, the beneficial owners of any of the Shares reported herein. Each of the Reporting Persons specifically disclaims beneficial ownership of the Shares reported herein that are not directly owned by such Reporting Person.</w:t>
      </w:r>
    </w:p>
    <w:p>
      <w:pPr>
        <w:spacing w:after="0" w:line="187" w:lineRule="exact"/>
        <w:rPr>
          <w:sz w:val="20"/>
          <w:szCs w:val="20"/>
          <w:color w:val="auto"/>
        </w:rPr>
      </w:pPr>
    </w:p>
    <w:p>
      <w:pPr>
        <w:ind w:left="1140" w:hanging="457"/>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sz w:val="20"/>
          <w:szCs w:val="20"/>
          <w:color w:val="auto"/>
        </w:rPr>
      </w:pPr>
    </w:p>
    <w:p>
      <w:pPr>
        <w:jc w:val="both"/>
        <w:ind w:left="1500" w:right="1780"/>
        <w:spacing w:after="0" w:line="266" w:lineRule="auto"/>
        <w:rPr>
          <w:sz w:val="20"/>
          <w:szCs w:val="20"/>
          <w:color w:val="auto"/>
        </w:rPr>
      </w:pPr>
      <w:r>
        <w:rPr>
          <w:rFonts w:ascii="Times New Roman" w:cs="Times New Roman" w:eastAsia="Times New Roman" w:hAnsi="Times New Roman"/>
          <w:sz w:val="18"/>
          <w:szCs w:val="18"/>
          <w:color w:val="auto"/>
        </w:rPr>
        <w:t>The following ownership percentages are based on 77,434,945 Shares outstanding, which is comprised of 77,434,945 Ordinary Shares outstanding as of November 24, 2023, as reported in the Issuer’s Form 10-Q dated December 1, 2023.</w:t>
      </w:r>
    </w:p>
    <w:p>
      <w:pPr>
        <w:spacing w:after="0" w:line="176" w:lineRule="exact"/>
        <w:rPr>
          <w:sz w:val="20"/>
          <w:szCs w:val="20"/>
          <w:color w:val="auto"/>
        </w:rPr>
      </w:pPr>
    </w:p>
    <w:p>
      <w:pPr>
        <w:jc w:val="both"/>
        <w:ind w:left="1500" w:right="1780"/>
        <w:spacing w:after="0" w:line="258" w:lineRule="auto"/>
        <w:rPr>
          <w:sz w:val="20"/>
          <w:szCs w:val="20"/>
          <w:color w:val="auto"/>
        </w:rPr>
      </w:pPr>
      <w:r>
        <w:rPr>
          <w:rFonts w:ascii="Times New Roman" w:cs="Times New Roman" w:eastAsia="Times New Roman" w:hAnsi="Times New Roman"/>
          <w:sz w:val="18"/>
          <w:szCs w:val="18"/>
          <w:color w:val="auto"/>
        </w:rPr>
        <w:t>The 5,588,190 Shares owned by the Master Fund represent approximately 7.22% of the outstanding Shares. By virtue of its relationship with the Master Fund discussed in further detail in Item 2, WindAcre may be deemed to beneficially own 5,588,190 Shares, representing approximately 7.22% of the outstanding Shares and Mr. Amin may be deemed to beneficially own 5,588,190 Shares representing approximately 7.22% of the outstanding Shares.</w:t>
      </w:r>
    </w:p>
    <w:p>
      <w:pPr>
        <w:spacing w:after="0" w:line="183" w:lineRule="exact"/>
        <w:rPr>
          <w:sz w:val="20"/>
          <w:szCs w:val="20"/>
          <w:color w:val="auto"/>
        </w:rPr>
      </w:pPr>
    </w:p>
    <w:p>
      <w:pPr>
        <w:jc w:val="both"/>
        <w:ind w:left="1500" w:right="1800"/>
        <w:spacing w:after="0" w:line="282" w:lineRule="auto"/>
        <w:rPr>
          <w:sz w:val="20"/>
          <w:szCs w:val="20"/>
          <w:color w:val="auto"/>
        </w:rPr>
      </w:pPr>
      <w:r>
        <w:rPr>
          <w:rFonts w:ascii="Times New Roman" w:cs="Times New Roman" w:eastAsia="Times New Roman" w:hAnsi="Times New Roman"/>
          <w:sz w:val="18"/>
          <w:szCs w:val="18"/>
          <w:color w:val="auto"/>
        </w:rPr>
        <w:t>This schedule 13G reports an aggregate of 5,588,190 Shares, representing approximately 7.22% of the outstanding Shares.</w:t>
      </w:r>
    </w:p>
    <w:p>
      <w:pPr>
        <w:spacing w:after="0" w:line="162" w:lineRule="exact"/>
        <w:rPr>
          <w:sz w:val="20"/>
          <w:szCs w:val="20"/>
          <w:color w:val="auto"/>
        </w:rPr>
      </w:pPr>
    </w:p>
    <w:p>
      <w:pPr>
        <w:ind w:left="1140" w:hanging="457"/>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7" w:lineRule="exact"/>
        <w:rPr>
          <w:rFonts w:ascii="Times New Roman" w:cs="Times New Roman" w:eastAsia="Times New Roman" w:hAnsi="Times New Roman"/>
          <w:sz w:val="18"/>
          <w:szCs w:val="18"/>
          <w:color w:val="auto"/>
        </w:rPr>
      </w:pPr>
    </w:p>
    <w:p>
      <w:pPr>
        <w:ind w:left="1580" w:right="6360" w:hanging="438"/>
        <w:spacing w:after="0" w:line="490" w:lineRule="auto"/>
        <w:tabs>
          <w:tab w:leader="none" w:pos="15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w:t>
      </w:r>
    </w:p>
    <w:p>
      <w:pPr>
        <w:ind w:left="1580" w:hanging="438"/>
        <w:spacing w:after="0"/>
        <w:tabs>
          <w:tab w:leader="none" w:pos="15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580" w:right="18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Master Fund, WindAcre and Mr. Amin share the power to vote or direct the vote of the 5,588,190 Shares owned by the Master Fund.</w:t>
      </w:r>
    </w:p>
    <w:p>
      <w:pPr>
        <w:spacing w:after="0" w:line="161" w:lineRule="exact"/>
        <w:rPr>
          <w:rFonts w:ascii="Times New Roman" w:cs="Times New Roman" w:eastAsia="Times New Roman" w:hAnsi="Times New Roman"/>
          <w:sz w:val="18"/>
          <w:szCs w:val="18"/>
          <w:color w:val="auto"/>
        </w:rPr>
      </w:pPr>
    </w:p>
    <w:p>
      <w:pPr>
        <w:ind w:left="1580" w:right="5460" w:hanging="438"/>
        <w:spacing w:after="0" w:line="500" w:lineRule="auto"/>
        <w:tabs>
          <w:tab w:leader="none" w:pos="15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w:t>
      </w:r>
    </w:p>
    <w:p>
      <w:pPr>
        <w:spacing w:after="0" w:line="1"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580" w:right="1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Master Fund, WindAcre, and Mr. Amin share the power to dispose or direct the disposition of the 5,588,190 Shares owned by the Master Fund.</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738" w:right="799" w:bottom="1440" w:gutter="0" w:footer="0" w:header="0"/>
        </w:sectPr>
      </w:pPr>
    </w:p>
    <w:bookmarkStart w:id="6" w:name="page7"/>
    <w:bookmarkEnd w:id="6"/>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the control of the issuer of the securities and were not acquired and are not held in connection with or as a participant in any transaction having such purpose or effect for the time being.</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7" w:name="page8"/>
    <w:bookmarkEnd w:id="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Dated: February 14, 2024</w:t>
      </w:r>
      <w:r>
        <w:rPr>
          <w:sz w:val="20"/>
          <w:szCs w:val="20"/>
          <w:color w:val="auto"/>
        </w:rPr>
        <w:tab/>
      </w:r>
      <w:r>
        <w:rPr>
          <w:rFonts w:ascii="Times New Roman" w:cs="Times New Roman" w:eastAsia="Times New Roman" w:hAnsi="Times New Roman"/>
          <w:sz w:val="17"/>
          <w:szCs w:val="17"/>
          <w:b w:val="1"/>
          <w:bCs w:val="1"/>
          <w:color w:val="auto"/>
        </w:rPr>
        <w:t>The WindAcre Partnership Master Fund LP</w:t>
      </w: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The WindAcre Partnership LLC</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As Investment Manager</w:t>
      </w:r>
    </w:p>
    <w:p>
      <w:pPr>
        <w:spacing w:after="0" w:line="200" w:lineRule="exact"/>
        <w:rPr>
          <w:sz w:val="20"/>
          <w:szCs w:val="20"/>
          <w:color w:val="auto"/>
        </w:rPr>
      </w:pPr>
    </w:p>
    <w:p>
      <w:pPr>
        <w:spacing w:after="0" w:line="2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Snehal Amin</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Snehal Amin</w:t>
      </w:r>
    </w:p>
    <w:p>
      <w:pPr>
        <w:spacing w:after="0" w:line="9"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 of the Investment Manager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3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4"/>
      <w:numFmt w:val="bullet"/>
      <w:start w:val="1"/>
    </w:lvl>
  </w:abstractNum>
  <w:abstractNum w:abstractNumId="4">
    <w:nsid w:val="216231B"/>
    <w:multiLevelType w:val="hybridMultilevel"/>
    <w:lvl w:ilvl="0">
      <w:lvlJc w:val="left"/>
      <w:lvlText w:val="5"/>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4"/>
      <w:numFmt w:val="bullet"/>
      <w:start w:val="1"/>
    </w:lvl>
  </w:abstractNum>
  <w:abstractNum w:abstractNumId="7">
    <w:nsid w:val="66EF438D"/>
    <w:multiLevelType w:val="hybridMultilevel"/>
    <w:lvl w:ilvl="0">
      <w:lvlJc w:val="left"/>
      <w:lvlText w:val="5"/>
      <w:numFmt w:val="bullet"/>
      <w:start w:val="1"/>
    </w:lvl>
  </w:abstractNum>
  <w:abstractNum w:abstractNumId="8">
    <w:nsid w:val="140E0F76"/>
    <w:multiLevelType w:val="hybridMultilevel"/>
    <w:lvl w:ilvl="0">
      <w:lvlJc w:val="left"/>
      <w:lvlText w:val="3"/>
      <w:numFmt w:val="bullet"/>
      <w:start w:val="1"/>
    </w:lvl>
  </w:abstractNum>
  <w:abstractNum w:abstractNumId="9">
    <w:nsid w:val="3352255A"/>
    <w:multiLevelType w:val="hybridMultilevel"/>
    <w:lvl w:ilvl="0">
      <w:lvlJc w:val="left"/>
      <w:lvlText w:val="4"/>
      <w:numFmt w:val="bullet"/>
      <w:start w:val="1"/>
    </w:lvl>
  </w:abstractNum>
  <w:abstractNum w:abstractNumId="10">
    <w:nsid w:val="109CF92E"/>
    <w:multiLevelType w:val="hybridMultilevel"/>
    <w:lvl w:ilvl="0">
      <w:lvlJc w:val="left"/>
      <w:lvlText w:val="5"/>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2024-02-14T15:02:48Z</dcterms:created>
  <dcterms:modified xsi:type="dcterms:W3CDTF">2024-02-14T15:02:48Z</dcterms:modified>
</cp:coreProperties>
</file>