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32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p>
      <w:pPr>
        <w:pStyle w:val="TextBody"/>
        <w:bidi w:val="0"/>
        <w:spacing w:lineRule="auto" w:line="288" w:before="0" w:after="32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CURRENT REPORT PURSUANT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TO SECTION 13 OR 15(d) OF THE</w:t>
      </w:r>
    </w:p>
    <w:p>
      <w:pPr>
        <w:pStyle w:val="TextBody"/>
        <w:bidi w:val="0"/>
        <w:spacing w:lineRule="auto" w:line="288" w:before="0" w:after="240"/>
        <w:jc w:val="center"/>
        <w:rPr>
          <w:rFonts w:ascii="Times New Roman;sans-serif" w:hAnsi="Times New Roman;sans-serif"/>
          <w:b/>
          <w:color w:val="000000"/>
          <w:sz w:val="32"/>
        </w:rPr>
      </w:pPr>
      <w:r>
        <w:rPr>
          <w:rFonts w:ascii="Times New Roman;sans-serif" w:hAnsi="Times New Roman;sans-serif"/>
          <w:b/>
          <w:color w:val="000000"/>
          <w:sz w:val="32"/>
        </w:rPr>
        <w:t>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May 10, 2024 (May 9, 2024)</w:t>
      </w:r>
    </w:p>
    <w:tbl>
      <w:tblPr>
        <w:tblW w:w="9043" w:type="dxa"/>
        <w:jc w:val="center"/>
        <w:tblInd w:w="0" w:type="dxa"/>
        <w:tblLayout w:type="fixed"/>
        <w:tblCellMar>
          <w:top w:w="28" w:type="dxa"/>
          <w:left w:w="28" w:type="dxa"/>
          <w:bottom w:w="28" w:type="dxa"/>
          <w:right w:w="28" w:type="dxa"/>
        </w:tblCellMar>
      </w:tblPr>
      <w:tblGrid>
        <w:gridCol w:w="576"/>
        <w:gridCol w:w="506"/>
        <w:gridCol w:w="508"/>
        <w:gridCol w:w="442"/>
        <w:gridCol w:w="442"/>
        <w:gridCol w:w="450"/>
        <w:gridCol w:w="1074"/>
        <w:gridCol w:w="1074"/>
        <w:gridCol w:w="1076"/>
        <w:gridCol w:w="845"/>
        <w:gridCol w:w="845"/>
        <w:gridCol w:w="1205"/>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Victoria's Secret &amp; Co.</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w:t>
              <w:br/>
              <w:t>as Specified in Its Charter)</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Delaware</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001-40515</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86-3167653</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 Limited Parkway East</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Reynoldsburg,</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OH</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43068</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(614) 577-7000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83" w:type="dxa"/>
        <w:jc w:val="left"/>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VSCO</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2024, Victoria's Secret &amp; Co. issued a press release providing its first quarter 2024 preliminary results and reaffirming its fiscal year 2024 sales and earnings guidance it provided on March 6, 2024. A copy of the press release is attached hereto as Exhibit 99.1 and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200"/>
        <w:jc w:val="left"/>
        <w:rPr/>
      </w:pPr>
      <w:hyperlink w:anchor="ex991vsco-may2024earningsr.htm">
        <w:r>
          <w:rPr>
            <w:rStyle w:val="InternetLink"/>
            <w:rFonts w:ascii="Times New Roman;sans-serif" w:hAnsi="Times New Roman;sans-serif"/>
            <w:b w:val="false"/>
            <w:color w:val="0000FF"/>
            <w:sz w:val="20"/>
            <w:u w:val="single"/>
          </w:rPr>
          <w:t>Exhibit 99.1</w:t>
        </w:r>
      </w:hyperlink>
      <w:r>
        <w:rPr>
          <w:color w:val="000000"/>
        </w:rPr>
        <w:t>    </w:t>
      </w:r>
      <w:r>
        <w:rPr>
          <w:rFonts w:ascii="Times New Roman;sans-serif" w:hAnsi="Times New Roman;sans-serif"/>
          <w:b w:val="false"/>
          <w:color w:val="000000"/>
          <w:sz w:val="20"/>
        </w:rPr>
        <w:t>Press Release of Victoria’s Secret &amp; Co., dated May 9,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Cover Page Interactive Data File (embedded within the Inline XBRL document)</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818" w:type="dxa"/>
        <w:jc w:val="right"/>
        <w:tblInd w:w="0" w:type="dxa"/>
        <w:tblLayout w:type="fixed"/>
        <w:tblCellMar>
          <w:top w:w="28" w:type="dxa"/>
          <w:left w:w="28" w:type="dxa"/>
          <w:bottom w:w="28" w:type="dxa"/>
          <w:right w:w="28" w:type="dxa"/>
        </w:tblCellMar>
      </w:tblPr>
      <w:tblGrid>
        <w:gridCol w:w="200"/>
        <w:gridCol w:w="177"/>
        <w:gridCol w:w="178"/>
        <w:gridCol w:w="414"/>
        <w:gridCol w:w="414"/>
        <w:gridCol w:w="417"/>
        <w:gridCol w:w="134"/>
        <w:gridCol w:w="134"/>
        <w:gridCol w:w="136"/>
        <w:gridCol w:w="1056"/>
        <w:gridCol w:w="1056"/>
        <w:gridCol w:w="15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bl>
    <w:p>
      <w:pPr>
        <w:pStyle w:val="TextBody"/>
        <w:bidi w:val="0"/>
        <w:spacing w:before="10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8"/>
        </w:rPr>
      </w:pPr>
      <w:r>
        <w:rPr>
          <w:rFonts w:ascii="Times New Roman;sans-serif" w:hAnsi="Times New Roman;sans-serif"/>
          <w:b w:val="false"/>
          <w:color w:val="000000"/>
          <w:sz w:val="28"/>
        </w:rPr>
        <w:t>Exhibit 99.1</w:t>
      </w:r>
    </w:p>
    <w:p>
      <w:pPr>
        <w:pStyle w:val="TextBody"/>
        <w:bidi w:val="0"/>
        <w:spacing w:before="0" w:after="0"/>
        <w:jc w:val="center"/>
        <w:rPr/>
      </w:pPr>
      <w:r>
        <w:rPr/>
        <w:drawing>
          <wp:inline distT="0" distB="0" distL="0" distR="0">
            <wp:extent cx="5105400" cy="1381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105400" cy="1381125"/>
                    </a:xfrm>
                    <a:prstGeom prst="rect">
                      <a:avLst/>
                    </a:prstGeom>
                  </pic:spPr>
                </pic:pic>
              </a:graphicData>
            </a:graphic>
          </wp:inline>
        </w:drawing>
      </w:r>
    </w:p>
    <w:p>
      <w:pPr>
        <w:pStyle w:val="TextBody"/>
        <w:bidi w:val="0"/>
        <w:spacing w:lineRule="auto" w:line="268" w:before="0" w:after="180"/>
        <w:jc w:val="center"/>
        <w:rPr>
          <w:rFonts w:ascii="Times New Roman;sans-serif" w:hAnsi="Times New Roman;sans-serif"/>
          <w:b/>
          <w:color w:val="000000"/>
          <w:sz w:val="32"/>
        </w:rPr>
      </w:pPr>
      <w:r>
        <w:rPr>
          <w:rFonts w:ascii="Times New Roman;sans-serif" w:hAnsi="Times New Roman;sans-serif"/>
          <w:b/>
          <w:color w:val="000000"/>
          <w:sz w:val="32"/>
        </w:rPr>
        <w:t xml:space="preserve">Victoria’s Secret &amp; Co. Provides First Quarter 2024 Preliminary Results </w:t>
      </w:r>
    </w:p>
    <w:p>
      <w:pPr>
        <w:pStyle w:val="TextBody"/>
        <w:bidi w:val="0"/>
        <w:spacing w:lineRule="auto" w:line="268" w:before="0" w:after="180"/>
        <w:jc w:val="center"/>
        <w:rPr>
          <w:rFonts w:ascii="Times New Roman;sans-serif" w:hAnsi="Times New Roman;sans-serif"/>
          <w:b/>
          <w:color w:val="000000"/>
          <w:sz w:val="26"/>
        </w:rPr>
      </w:pPr>
      <w:r>
        <w:rPr>
          <w:rFonts w:ascii="Times New Roman;sans-serif" w:hAnsi="Times New Roman;sans-serif"/>
          <w:b/>
          <w:color w:val="000000"/>
          <w:sz w:val="26"/>
        </w:rPr>
        <w:t>Sales, adjusted operating income, adjusted EPS at the high end or above guidance</w:t>
      </w:r>
    </w:p>
    <w:p>
      <w:pPr>
        <w:pStyle w:val="TextBody"/>
        <w:bidi w:val="0"/>
        <w:spacing w:lineRule="auto" w:line="268" w:before="0" w:after="180"/>
        <w:jc w:val="center"/>
        <w:rPr>
          <w:rFonts w:ascii="Times New Roman;sans-serif" w:hAnsi="Times New Roman;sans-serif"/>
          <w:b/>
          <w:color w:val="000000"/>
          <w:sz w:val="26"/>
        </w:rPr>
      </w:pPr>
      <w:r>
        <w:rPr>
          <w:rFonts w:ascii="Times New Roman;sans-serif" w:hAnsi="Times New Roman;sans-serif"/>
          <w:b/>
          <w:color w:val="000000"/>
          <w:sz w:val="26"/>
        </w:rPr>
        <w:t>Reaffirms fiscal 2024 sales and adjusted operating income guidance</w:t>
      </w:r>
    </w:p>
    <w:p>
      <w:pPr>
        <w:pStyle w:val="TextBody"/>
        <w:bidi w:val="0"/>
        <w:spacing w:before="0" w:after="0"/>
        <w:jc w:val="center"/>
        <w:rPr/>
      </w:pPr>
      <w:r>
        <w:rPr/>
      </w:r>
    </w:p>
    <w:p>
      <w:pPr>
        <w:pStyle w:val="TextBody"/>
        <w:bidi w:val="0"/>
        <w:spacing w:lineRule="auto" w:line="268" w:before="0" w:after="0"/>
        <w:jc w:val="left"/>
        <w:rPr/>
      </w:pPr>
      <w:r>
        <w:rPr>
          <w:rFonts w:ascii="Times New Roman;sans-serif" w:hAnsi="Times New Roman;sans-serif"/>
          <w:b w:val="false"/>
          <w:color w:val="000000"/>
          <w:sz w:val="24"/>
        </w:rPr>
        <w:t>Reynoldsburg, Ohio (May 9, 2024)</w:t>
      </w:r>
      <w:r>
        <w:rPr>
          <w:color w:val="000000"/>
        </w:rPr>
        <w:t>—</w:t>
      </w:r>
      <w:r>
        <w:rPr>
          <w:rFonts w:ascii="Times New Roman;sans-serif" w:hAnsi="Times New Roman;sans-serif"/>
          <w:b w:val="false"/>
          <w:color w:val="000000"/>
          <w:sz w:val="24"/>
        </w:rPr>
        <w:t>Victoria’s Secret &amp; Co. (“Victoria’s Secret” or the “Company”) (NYSE: VSCO) today provided preliminary results for the first quarter 2024 ended May 4, 2024. Net sales, adjusted operating income, and adjusted diluted earnings per share for the first quarter are at or above previously issued guidance as highlighted in the table below.</w:t>
      </w:r>
    </w:p>
    <w:p>
      <w:pPr>
        <w:pStyle w:val="TextBody"/>
        <w:bidi w:val="0"/>
        <w:spacing w:before="0" w:after="0"/>
        <w:jc w:val="left"/>
        <w:rPr/>
      </w:pPr>
      <w:r>
        <w:rPr/>
      </w:r>
    </w:p>
    <w:tbl>
      <w:tblPr>
        <w:tblW w:w="6597" w:type="dxa"/>
        <w:jc w:val="center"/>
        <w:tblInd w:w="0" w:type="dxa"/>
        <w:tblLayout w:type="fixed"/>
        <w:tblCellMar>
          <w:top w:w="28" w:type="dxa"/>
          <w:left w:w="28" w:type="dxa"/>
          <w:bottom w:w="28" w:type="dxa"/>
          <w:right w:w="28" w:type="dxa"/>
        </w:tblCellMar>
      </w:tblPr>
      <w:tblGrid>
        <w:gridCol w:w="1165"/>
        <w:gridCol w:w="1025"/>
        <w:gridCol w:w="1034"/>
        <w:gridCol w:w="599"/>
        <w:gridCol w:w="599"/>
        <w:gridCol w:w="601"/>
        <w:gridCol w:w="460"/>
        <w:gridCol w:w="460"/>
        <w:gridCol w:w="654"/>
      </w:tblGrid>
      <w:tr>
        <w:trPr/>
        <w:tc>
          <w:tcPr>
            <w:tcW w:w="116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Quarter 2024</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Preliminary Results</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Guidance</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to (4%)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to (6%)</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Operating Income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$35 - $40 million</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 $35 million</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Diluted Earnings Per Share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$0.07 to $0.12</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 to $0.10</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 Martin Waters commented on the improved first quarter performance, “I am encouraged by our preliminary view of results and the sequential improvement in quarterly sales trends. We delivered meaningful newness in merchandise and brand projection during the quarter and our customers responded, particularly in April, which was our strongest of the three months. The retail environment in North America remains challenging and the promotional environment was very competitive; however, we experienced improving trends throughout the quarter in both our stores and in our digital business for both the Victoria’s Secret and PINK brands. In stores, our customer traffic improved noticeably throughout the quarter, and in our digital business, the investments we’ve made to improve the customer experience resulted in digital sales performance outpacing stores. At the same time, we continue to experience strong growth in our international business as sales increased in the mid-teens again in the first quarter. Our brands are strong around the globe and our partners are executing the strategy at a very high level.”</w:t>
      </w:r>
    </w:p>
    <w:p>
      <w:pPr>
        <w:pStyle w:val="TextBody"/>
        <w:bidi w:val="0"/>
        <w:spacing w:before="0" w:after="0"/>
        <w:jc w:val="left"/>
        <w:rPr/>
      </w:pPr>
      <w:r>
        <w:rPr/>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reaffirms the fiscal year 2024 net sales and adjusted operating income guidance provided on March 6, 2024.</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Adjusted operating income and adjusted diluted earnings per share are non-GAAP financial measures. At the conclusion of this press release, we have included more information regarding these non-GAAP financial measures, including a reconciliation of each non-GAAP financial measure to the most directly comparable financial measure reported in accordance with GAAP.</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About Victoria’s Secret &amp; Co.</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supporting women in all they do, and Adore Me, a technology-led, digital first innovative intimates brand serving women of all sizes and budgets at all phases of life. We are committed to empowering our approximately 30,000 associates across a global footprint of more than 1,370 retail stores in nearly 70 countries. We strive to provide the best products to help women express their confidence, sexiness and power and use our platform to celebrate the extraordinary diversity of women’s experiences.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Safe Harbor Statement Under the Private Securities Litigation Reform Act of 1995</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may not realize all of the expected benefits of the spin-off from Bath &amp; Body Works, Inc. (f/k/a L Brands, Inc.);</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general economic conditions, inflation, and changes in consumer confidence and consumer spending patterns;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implement our strategic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difficulties arising from turnover in company leadership or other key positions;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develop and retain qualified associates and manage labor-related costs;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dependence on traffic to our stores and the availability of suitable store locations on satisfactory terms;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operate and expand internationally and related risks;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operations and performance of our franchisees, licensees, wholesalers and joint venture partners;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operate and grow our direct channel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protect our reputation and the image and value of our brands;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customers with marketing, advertising and promotional programs;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highly competitive nature of the retail industry and the segments in which we operate;</w:t>
      </w:r>
    </w:p>
    <w:p>
      <w:pPr>
        <w:pStyle w:val="TextBody"/>
        <w:bidi w:val="0"/>
        <w:spacing w:lineRule="auto" w:line="268"/>
        <w:ind w:left="0" w:right="0" w:hanging="360"/>
        <w:jc w:val="both"/>
        <w:rPr/>
      </w:pPr>
      <w:r>
        <w:rPr>
          <w:color w:val="000000"/>
        </w:rPr>
        <w:t>•</w:t>
      </w:r>
      <w:r>
        <w:rPr>
          <w:rFonts w:ascii="Times New Roman;sans-serif" w:hAnsi="Times New Roman;sans-serif"/>
          <w:b w:val="false"/>
          <w:color w:val="000000"/>
          <w:sz w:val="24"/>
        </w:rPr>
        <w:t>consumer acceptance of our products and our ability to manage the life cycle of our brands, remain current with fashion trends, and develop and launch new merchandise, product lines and brands successfully;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6"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realize the potential benefits and synergies sought with the acquisition of AdoreMe, Inc.;</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incorporate artificial intelligence into our business operations successfully and ethically while effectively managing the associated risks;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source materials and produce, distribute and sell merchandise on a global basis, including risks related to:</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political instability and geopolitical conflicts;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environmental hazards and natural disasters;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health hazards and pandemics;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delays or disruptions in shipping and transportation and related pricing impacts;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disruption due to labor disputes;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geographic concentration of production and distribution facilities in central Ohio and Southeast Asia;</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ability of our vendors to manufacture and deliver products in a timely manner, meet quality standards and comply with applicable laws and regulations;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fluctuations in freight, product input and energy costs;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and our third-party service providers’ ability to implement and maintain information technology systems and to protect associated data and system availability;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the security of customer, associate, third-party and company information;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stock price volatility;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shareholder activism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our credit rating;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comply with regulatory requirements;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legal, tax, trade and other regulatory matters.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22,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further information, please contact:</w:t>
      </w:r>
    </w:p>
    <w:p>
      <w:pPr>
        <w:pStyle w:val="TextBody"/>
        <w:bidi w:val="0"/>
        <w:spacing w:before="0" w:after="0"/>
        <w:jc w:val="left"/>
        <w:rPr/>
      </w:pPr>
      <w:r>
        <w:rPr/>
      </w:r>
    </w:p>
    <w:tbl>
      <w:tblPr>
        <w:tblW w:w="6959" w:type="dxa"/>
        <w:jc w:val="left"/>
        <w:tblInd w:w="0" w:type="dxa"/>
        <w:tblLayout w:type="fixed"/>
        <w:tblCellMar>
          <w:top w:w="28" w:type="dxa"/>
          <w:left w:w="28" w:type="dxa"/>
          <w:bottom w:w="28" w:type="dxa"/>
          <w:right w:w="28" w:type="dxa"/>
        </w:tblCellMar>
      </w:tblPr>
      <w:tblGrid>
        <w:gridCol w:w="1105"/>
        <w:gridCol w:w="976"/>
        <w:gridCol w:w="980"/>
        <w:gridCol w:w="269"/>
        <w:gridCol w:w="269"/>
        <w:gridCol w:w="269"/>
        <w:gridCol w:w="894"/>
        <w:gridCol w:w="894"/>
        <w:gridCol w:w="1303"/>
      </w:tblGrid>
      <w:tr>
        <w:trPr/>
        <w:tc>
          <w:tcPr>
            <w:tcW w:w="11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69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Victoria's Secret &amp; Co.:</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Investor Relations: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Media Relations:</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Wynk</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Brooke Wilson</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investorrelations@victoria.com</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communications@victoria.com</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7"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16"/>
        <w:gridCol w:w="1375"/>
        <w:gridCol w:w="1352"/>
        <w:gridCol w:w="1867"/>
        <w:gridCol w:w="1352"/>
        <w:gridCol w:w="1943"/>
      </w:tblGrid>
      <w:tr>
        <w:trPr/>
        <w:tc>
          <w:tcPr>
            <w:tcW w:w="231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VICTORIA'S SECRET &amp; CO.</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NON-GAAP FINANCIAL INFORMATION</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(Unaudited)</w:t>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8" w:before="0" w:after="100"/>
              <w:jc w:val="left"/>
              <w:rPr>
                <w:rFonts w:ascii="Times New Roman;sans-serif" w:hAnsi="Times New Roman;sans-serif"/>
                <w:b w:val="false"/>
                <w:i/>
                <w:color w:val="000000"/>
                <w:sz w:val="18"/>
              </w:rPr>
            </w:pPr>
            <w:r>
              <w:rPr>
                <w:rFonts w:ascii="Times New Roman;sans-serif" w:hAnsi="Times New Roman;sans-serif"/>
                <w:b w:val="false"/>
                <w:i/>
                <w:color w:val="000000"/>
                <w:sz w:val="18"/>
              </w:rPr>
              <w:t>In addition to our results provided in accordance with GAAP, provided below are non-GAAP financial measures that present operating income and net income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information may differ from similarly titled measures used by other companies. The table below reconciles the most directly comparable GAAP financial measures to each non-GAAP financial measures.</w:t>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First Quarter 2024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Preliminary Results</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Operating Income - GAAP</w:t>
            </w:r>
          </w:p>
        </w:tc>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 $26 million</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(a)</w:t>
            </w:r>
          </w:p>
        </w:tc>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Approximately $8 million</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(b)</w:t>
            </w:r>
          </w:p>
        </w:tc>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Approximately $6 million</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Adjusted Operating Income</w:t>
            </w:r>
          </w:p>
        </w:tc>
        <w:tc>
          <w:tcPr>
            <w:tcW w:w="5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 $40 million</w:t>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Net Income (Loss) Per Diluted Share Attributable to Victoria's Secret &amp; Co. - GAAP</w:t>
            </w:r>
          </w:p>
        </w:tc>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to ($0.05)</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(a)</w:t>
            </w:r>
          </w:p>
        </w:tc>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Approximately $0.10</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(b)</w:t>
            </w:r>
          </w:p>
        </w:tc>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Approximately $0.06</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Adjusted Net Income per Diluted Share Attributable to Victoria's Secret &amp; Co.</w:t>
            </w:r>
          </w:p>
        </w:tc>
        <w:tc>
          <w:tcPr>
            <w:tcW w:w="516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to $0.12</w:t>
            </w:r>
          </w:p>
        </w:tc>
      </w:tr>
    </w:tbl>
    <w:p>
      <w:pPr>
        <w:pStyle w:val="TextBody"/>
        <w:bidi w:val="0"/>
        <w:spacing w:lineRule="auto" w:line="288" w:before="18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(a)In the first quarter of 2024, we recognized an approximately $8 million pre-tax charge (approximately $8 million net of tax), approximately $7 million included in general, administrative and store operating expense and approximately $1 million included in interest expense, related to the financial impact of purchase accounting items related to the acquisition of Adore Me.</w:t>
      </w:r>
    </w:p>
    <w:p>
      <w:pPr>
        <w:pStyle w:val="TextBody"/>
        <w:bidi w:val="0"/>
        <w:spacing w:lineRule="auto" w:line="288" w:before="18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(b)In the first quarter of 2024, we recognized approximately $6 million of amortization expense (approximately $5 million net of tax) included in general, administrative and store operating expense related to the acquisition of Adore Me.</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13360"/>
                <wp:effectExtent l="0" t="0" r="0" b="0"/>
                <wp:wrapNone/>
                <wp:docPr id="8" name="Frame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2167</Words>
  <Characters>12575</Characters>
  <CharactersWithSpaces>14608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