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5, 2026</w:t>
      </w:r>
    </w:p>
    <w:p>
      <w:pPr>
        <w:spacing w:after="0" w:line="110" w:lineRule="exact"/>
        <w:rPr>
          <w:sz w:val="24"/>
          <w:szCs w:val="24"/>
          <w:color w:val="auto"/>
        </w:rPr>
      </w:pPr>
    </w:p>
    <w:tbl>
      <w:tblPr>
        <w:tblLayout w:type="fixed"/>
        <w:tblInd w:w="1060" w:type="dxa"/>
        <w:tblCellMar>
          <w:top w:w="0" w:type="dxa"/>
          <w:left w:w="0" w:type="dxa"/>
          <w:bottom w:w="0" w:type="dxa"/>
          <w:right w:w="0" w:type="dxa"/>
        </w:tblCellMar>
      </w:tblPr>
      <w:tr>
        <w:trPr>
          <w:trHeight w:val="330"/>
        </w:trPr>
        <w:tc>
          <w:tcPr>
            <w:tcW w:w="2540" w:type="dxa"/>
            <w:vAlign w:val="bottom"/>
          </w:tcPr>
          <w:p>
            <w:pPr>
              <w:spacing w:after="0"/>
              <w:rPr>
                <w:sz w:val="24"/>
                <w:szCs w:val="24"/>
                <w:color w:val="auto"/>
              </w:rPr>
            </w:pPr>
          </w:p>
        </w:tc>
        <w:tc>
          <w:tcPr>
            <w:tcW w:w="6720" w:type="dxa"/>
            <w:vAlign w:val="bottom"/>
          </w:tcPr>
          <w:p>
            <w:pPr>
              <w:jc w:val="center"/>
              <w:ind w:right="2673"/>
              <w:spacing w:after="0"/>
              <w:rPr>
                <w:sz w:val="20"/>
                <w:szCs w:val="20"/>
                <w:color w:val="auto"/>
              </w:rPr>
            </w:pPr>
            <w:r>
              <w:rPr>
                <w:rFonts w:ascii="Times New Roman" w:cs="Times New Roman" w:eastAsia="Times New Roman" w:hAnsi="Times New Roman"/>
                <w:sz w:val="25"/>
                <w:szCs w:val="25"/>
                <w:b w:val="1"/>
                <w:bCs w:val="1"/>
                <w:color w:val="auto"/>
              </w:rPr>
              <w:t>Victoria's Secret &amp; Co.</w:t>
            </w:r>
          </w:p>
        </w:tc>
      </w:tr>
      <w:tr>
        <w:trPr>
          <w:trHeight w:val="149"/>
        </w:trPr>
        <w:tc>
          <w:tcPr>
            <w:tcW w:w="2540" w:type="dxa"/>
            <w:vAlign w:val="bottom"/>
          </w:tcPr>
          <w:p>
            <w:pPr>
              <w:spacing w:after="0"/>
              <w:rPr>
                <w:sz w:val="12"/>
                <w:szCs w:val="12"/>
                <w:color w:val="auto"/>
              </w:rPr>
            </w:pPr>
          </w:p>
        </w:tc>
        <w:tc>
          <w:tcPr>
            <w:tcW w:w="6720" w:type="dxa"/>
            <w:vAlign w:val="bottom"/>
          </w:tcPr>
          <w:p>
            <w:pPr>
              <w:jc w:val="center"/>
              <w:ind w:right="2653"/>
              <w:spacing w:after="0" w:line="149"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65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4"/>
        </w:trPr>
        <w:tc>
          <w:tcPr>
            <w:tcW w:w="2540" w:type="dxa"/>
            <w:vAlign w:val="bottom"/>
          </w:tcPr>
          <w:p>
            <w:pPr>
              <w:spacing w:after="0"/>
              <w:rPr>
                <w:sz w:val="24"/>
                <w:szCs w:val="24"/>
                <w:color w:val="auto"/>
              </w:rPr>
            </w:pPr>
          </w:p>
        </w:tc>
        <w:tc>
          <w:tcPr>
            <w:tcW w:w="6720" w:type="dxa"/>
            <w:vAlign w:val="bottom"/>
          </w:tcPr>
          <w:p>
            <w:pPr>
              <w:jc w:val="center"/>
              <w:ind w:right="2653"/>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67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20" w:type="dxa"/>
            <w:vAlign w:val="bottom"/>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013"/>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91"/>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20" w:type="dxa"/>
            <w:vAlign w:val="bottom"/>
          </w:tcPr>
          <w:p>
            <w:pPr>
              <w:spacing w:after="0"/>
              <w:rPr>
                <w:sz w:val="24"/>
                <w:szCs w:val="24"/>
                <w:color w:val="auto"/>
              </w:rPr>
            </w:pPr>
          </w:p>
        </w:tc>
      </w:tr>
      <w:tr>
        <w:trPr>
          <w:trHeight w:val="229"/>
        </w:trPr>
        <w:tc>
          <w:tcPr>
            <w:tcW w:w="25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20" w:type="dxa"/>
            <w:vAlign w:val="bottom"/>
          </w:tcPr>
          <w:p>
            <w:pPr>
              <w:jc w:val="right"/>
              <w:ind w:right="993"/>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40" w:type="dxa"/>
            <w:vAlign w:val="bottom"/>
          </w:tcPr>
          <w:p>
            <w:pPr>
              <w:jc w:val="center"/>
              <w:ind w:right="17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033"/>
              <w:spacing w:after="0"/>
              <w:rPr>
                <w:sz w:val="20"/>
                <w:szCs w:val="20"/>
                <w:color w:val="auto"/>
              </w:rPr>
            </w:pPr>
            <w:r>
              <w:rPr>
                <w:rFonts w:ascii="Times New Roman" w:cs="Times New Roman" w:eastAsia="Times New Roman" w:hAnsi="Times New Roman"/>
                <w:sz w:val="14"/>
                <w:szCs w:val="14"/>
                <w:color w:val="auto"/>
              </w:rPr>
              <w:t>(Zip Code)</w:t>
            </w:r>
          </w:p>
        </w:tc>
      </w:tr>
      <w:tr>
        <w:trPr>
          <w:trHeight w:val="527"/>
        </w:trPr>
        <w:tc>
          <w:tcPr>
            <w:tcW w:w="2540" w:type="dxa"/>
            <w:vAlign w:val="bottom"/>
          </w:tcPr>
          <w:p>
            <w:pPr>
              <w:spacing w:after="0"/>
              <w:rPr>
                <w:sz w:val="24"/>
                <w:szCs w:val="24"/>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40" w:type="dxa"/>
            <w:vAlign w:val="bottom"/>
          </w:tcPr>
          <w:p>
            <w:pPr>
              <w:spacing w:after="0"/>
              <w:rPr>
                <w:sz w:val="24"/>
                <w:szCs w:val="24"/>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57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40" w:firstLine="251"/>
        <w:spacing w:after="0" w:line="381"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VSCO</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34"/>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8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information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5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On March 5, 2026, Victoria’s Secret &amp; Co. issued a press release setting forth its fourth quarter and full year 2025 results. In addition, the press release provides first quarter and full year 2026 earnings guidance. A copy of the press release is attached hereto as Exhibit 99.1 and is hereby incorporated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18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of Victoria’s Secret &amp; Co., dated March 5, 2026.</w:t>
      </w:r>
    </w:p>
    <w:p>
      <w:pPr>
        <w:spacing w:after="0" w:line="77" w:lineRule="exact"/>
        <w:rPr>
          <w:sz w:val="20"/>
          <w:szCs w:val="20"/>
          <w:color w:val="auto"/>
        </w:rPr>
      </w:pPr>
    </w:p>
    <w:p>
      <w:pPr>
        <w:ind w:left="480"/>
        <w:spacing w:after="0"/>
        <w:tabs>
          <w:tab w:leader="none" w:pos="13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1273175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00" w:lineRule="exact"/>
        <w:rPr>
          <w:sz w:val="20"/>
          <w:szCs w:val="20"/>
          <w:color w:val="auto"/>
        </w:rPr>
      </w:pPr>
    </w:p>
    <w:p>
      <w:pPr>
        <w:spacing w:after="0" w:line="286" w:lineRule="exact"/>
        <w:rPr>
          <w:sz w:val="20"/>
          <w:szCs w:val="20"/>
          <w:color w:val="auto"/>
        </w:rPr>
      </w:pPr>
    </w:p>
    <w:p>
      <w:pPr>
        <w:ind w:left="4620"/>
        <w:spacing w:after="0"/>
        <w:tabs>
          <w:tab w:leader="none" w:pos="6940" w:val="left"/>
          <w:tab w:leader="none" w:pos="7440" w:val="left"/>
        </w:tabs>
        <w:rPr>
          <w:sz w:val="20"/>
          <w:szCs w:val="20"/>
          <w:color w:val="auto"/>
        </w:rPr>
      </w:pPr>
      <w:r>
        <w:rPr>
          <w:rFonts w:ascii="Times New Roman" w:cs="Times New Roman" w:eastAsia="Times New Roman" w:hAnsi="Times New Roman"/>
          <w:sz w:val="18"/>
          <w:szCs w:val="18"/>
          <w:color w:val="auto"/>
        </w:rPr>
        <w:t>Date: March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Scott Sekella</w:t>
      </w:r>
    </w:p>
    <w:p>
      <w:pPr>
        <w:spacing w:after="0" w:line="5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and Operating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20320</wp:posOffset>
            </wp:positionV>
            <wp:extent cx="4594860" cy="1243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Victoria’s Secret &amp; Co. Reports 2025 Fourth Quarter and Full Year Results</w:t>
      </w:r>
    </w:p>
    <w:p>
      <w:pPr>
        <w:spacing w:after="0" w:line="200" w:lineRule="exact"/>
        <w:rPr>
          <w:sz w:val="20"/>
          <w:szCs w:val="20"/>
          <w:color w:val="auto"/>
        </w:rPr>
      </w:pPr>
    </w:p>
    <w:p>
      <w:pPr>
        <w:spacing w:after="0" w:line="208"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Fourth Quarter and Full Year Results Exceeded Top- and Bottom-line Guidance</w:t>
      </w:r>
    </w:p>
    <w:p>
      <w:pPr>
        <w:spacing w:after="0" w:line="73" w:lineRule="exact"/>
        <w:rPr>
          <w:rFonts w:ascii="Times New Roman" w:cs="Times New Roman" w:eastAsia="Times New Roman" w:hAnsi="Times New Roman"/>
          <w:sz w:val="23"/>
          <w:szCs w:val="23"/>
          <w:b w:val="1"/>
          <w:bCs w:val="1"/>
          <w:color w:val="auto"/>
        </w:rPr>
      </w:pPr>
    </w:p>
    <w:p>
      <w:pPr>
        <w:ind w:left="320" w:hanging="312"/>
        <w:spacing w:after="0"/>
        <w:tabs>
          <w:tab w:leader="none" w:pos="320" w:val="left"/>
        </w:tabs>
        <w:numPr>
          <w:ilvl w:val="0"/>
          <w:numId w:val="2"/>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Comparable Sales Increased 8% in the Fourth Quarter and 5% for the Full Year</w:t>
      </w:r>
    </w:p>
    <w:p>
      <w:pPr>
        <w:spacing w:after="0" w:line="59" w:lineRule="exact"/>
        <w:rPr>
          <w:rFonts w:ascii="Times New Roman" w:cs="Times New Roman" w:eastAsia="Times New Roman" w:hAnsi="Times New Roman"/>
          <w:sz w:val="23"/>
          <w:szCs w:val="23"/>
          <w:b w:val="1"/>
          <w:bCs w:val="1"/>
          <w:color w:val="auto"/>
        </w:rPr>
      </w:pPr>
    </w:p>
    <w:p>
      <w:pPr>
        <w:ind w:left="320" w:hanging="312"/>
        <w:spacing w:after="0"/>
        <w:tabs>
          <w:tab w:leader="none" w:pos="320" w:val="left"/>
        </w:tabs>
        <w:numPr>
          <w:ilvl w:val="0"/>
          <w:numId w:val="2"/>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Fourth Quarter and Full Year Adjusted Operating Income Significantly Exceeded Expectations</w:t>
      </w:r>
    </w:p>
    <w:p>
      <w:pPr>
        <w:spacing w:after="0" w:line="73" w:lineRule="exact"/>
        <w:rPr>
          <w:rFonts w:ascii="Times New Roman" w:cs="Times New Roman" w:eastAsia="Times New Roman" w:hAnsi="Times New Roman"/>
          <w:sz w:val="23"/>
          <w:szCs w:val="23"/>
          <w:b w:val="1"/>
          <w:bCs w:val="1"/>
          <w:color w:val="auto"/>
        </w:rPr>
      </w:pPr>
    </w:p>
    <w:p>
      <w:pPr>
        <w:ind w:left="320" w:hanging="312"/>
        <w:spacing w:after="0"/>
        <w:tabs>
          <w:tab w:leader="none" w:pos="320" w:val="left"/>
        </w:tabs>
        <w:numPr>
          <w:ilvl w:val="0"/>
          <w:numId w:val="2"/>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Initiates First Quarter and Fiscal 2026 Guidance</w:t>
      </w:r>
    </w:p>
    <w:p>
      <w:pPr>
        <w:spacing w:after="0" w:line="321"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22"/>
          <w:szCs w:val="22"/>
          <w:color w:val="auto"/>
        </w:rPr>
        <w:t>Reynoldsburg, Ohio (March 5, 2026)</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Victoria’s Secret &amp; Co. (“VS&amp;Co” or the “Company”) (NYSE: VSCO) today reported financial results for the fourth quarter and fiscal year ended January 31, 2026.</w:t>
      </w:r>
    </w:p>
    <w:p>
      <w:pPr>
        <w:spacing w:after="0" w:line="181"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Hillary Super, VS&amp;Co Chief Executive Officer, said, “We delivered an exceptional fourth quarter and a standout year, exceeding top- and bottom-line guidance with broad based outperformance across brands, channels and geographies. We drove meaningful acceleration in the second half of the year, with fourth quarter net sales of $2.270 billion and comparable sales growth of 8%. In the quarter, our customer responded enthusiastically to our product and marketing, as demonstrated by growing new customer acquisition and increased AURs. Our 2025 results reflect the progress we have made against our Path to Potential strategy as we build brand heat and powerful connections with our customers around the world.”</w:t>
      </w:r>
    </w:p>
    <w:p>
      <w:pPr>
        <w:spacing w:after="0" w:line="208" w:lineRule="exact"/>
        <w:rPr>
          <w:sz w:val="20"/>
          <w:szCs w:val="20"/>
          <w:color w:val="auto"/>
        </w:rPr>
      </w:pPr>
    </w:p>
    <w:p>
      <w:pPr>
        <w:ind w:right="160"/>
        <w:spacing w:after="0" w:line="267" w:lineRule="exact"/>
        <w:rPr>
          <w:sz w:val="20"/>
          <w:szCs w:val="20"/>
          <w:color w:val="auto"/>
        </w:rPr>
      </w:pPr>
      <w:r>
        <w:rPr>
          <w:rFonts w:ascii="Times New Roman" w:cs="Times New Roman" w:eastAsia="Times New Roman" w:hAnsi="Times New Roman"/>
          <w:sz w:val="22"/>
          <w:szCs w:val="22"/>
          <w:color w:val="auto"/>
        </w:rPr>
        <w:t>Ms. Super concluded, “We enter fiscal 2026 from a position of strength. With a clear brand vision, a faster and more agile operating model, and a strong pipeline of product and brand moments ahead, we are confident in our ability to deliver profitable growth and create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shareholder value.”</w:t>
      </w:r>
    </w:p>
    <w:p>
      <w:pPr>
        <w:spacing w:after="0" w:line="172"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Scott Sekella, VS&amp;Co Chief Financial and Operating Officer, said, “Our results reflect disciplined execution, strong margin performance, and increased operational agility. We delivered adjusted operating income of $403 million in fiscal year 2025, despite approximately $85 million of tariff pressure. Our adjusted earnings per diluted share was $3.00, representing 22% growth versus last year, excluding last year’s cumulative gift card breakage adjustment. Our Path to Potential strategy is accelerating the Company’s growth, reinforcing our confidence in our fiscal 2026 guidance.”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Fourth Quarter 2025 Results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reported net sales of $2.270 billion for the fourth quarter of 2025, an increase of 8% compared to net sales of</w:t>
      </w:r>
    </w:p>
    <w:p>
      <w:pPr>
        <w:ind w:right="120"/>
        <w:spacing w:after="0" w:line="237" w:lineRule="auto"/>
        <w:rPr>
          <w:sz w:val="20"/>
          <w:szCs w:val="20"/>
          <w:color w:val="auto"/>
        </w:rPr>
      </w:pPr>
      <w:r>
        <w:rPr>
          <w:rFonts w:ascii="Times New Roman" w:cs="Times New Roman" w:eastAsia="Times New Roman" w:hAnsi="Times New Roman"/>
          <w:sz w:val="22"/>
          <w:szCs w:val="22"/>
          <w:color w:val="auto"/>
        </w:rPr>
        <w:t>$2.106 billion for the fourth quarter of 2024 and above our previously communicated guidance range of $2.170 billion to $2.200 billion. Total comparable sales for the fourth quarter of 2025 increased 8%.</w:t>
      </w:r>
    </w:p>
    <w:p>
      <w:pPr>
        <w:sectPr>
          <w:pgSz w:w="11900" w:h="16838" w:orient="portrait"/>
          <w:cols w:equalWidth="0" w:num="1">
            <w:col w:w="11240"/>
          </w:cols>
          <w:pgMar w:left="320" w:top="765" w:right="339" w:bottom="1440" w:gutter="0" w:footer="0" w:header="0"/>
        </w:sectPr>
      </w:pPr>
    </w:p>
    <w:bookmarkStart w:id="4" w:name="page5"/>
    <w:bookmarkEnd w:id="4"/>
    <w:p>
      <w:pPr>
        <w:ind w:right="260"/>
        <w:spacing w:after="0" w:line="244" w:lineRule="auto"/>
        <w:rPr>
          <w:sz w:val="20"/>
          <w:szCs w:val="20"/>
          <w:color w:val="auto"/>
        </w:rPr>
      </w:pPr>
      <w:r>
        <w:rPr>
          <w:rFonts w:ascii="Times New Roman" w:cs="Times New Roman" w:eastAsia="Times New Roman" w:hAnsi="Times New Roman"/>
          <w:sz w:val="22"/>
          <w:szCs w:val="22"/>
          <w:color w:val="auto"/>
        </w:rPr>
        <w:t>The Company reported operating income for the fourth quarter of 2025 of $229 million compared to operating income of $268 million in the fourth quarter of 2024. Net income was $184 million, or $2.14 per diluted share, for the fourth quarter of 2025 compared to net income of $193 million, or $2.33 per diluted share, for the fourth quarter of 2024.</w:t>
      </w:r>
    </w:p>
    <w:p>
      <w:pPr>
        <w:spacing w:after="0" w:line="200"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Excluding the impact of the adjusted items described at the conclusion of this press release, adjusted operating income for the fourth quarter of 2025 was $316 million, which was above our previously communicated guidance range of adjusted operating income of $265 million to $290 million. This result compares to last year’s fourth quarter adjusted operating income of $299 million. Adjusted net income for the fourth quarter of 2025 was $238 million, or $2.77 per diluted share, which was above our previously communicated guidance range of adjusted net income per diluted share of $2.20 to $2.45. This result compares to last year’s fourth quarter adjusted net income of $216 million, or $2.60 per diluted share.</w:t>
      </w:r>
    </w:p>
    <w:p>
      <w:pPr>
        <w:spacing w:after="0" w:line="20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As previously disclosed, last year’s results include an approximately $26 million benefit to net sales, gross margin and operating income as a result of the Company’s cumulative adjustment for its change in accounting estimate related to expected future redemption on outstanding gift cards.</w:t>
      </w:r>
    </w:p>
    <w:p>
      <w:pPr>
        <w:spacing w:after="0" w:line="200"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22"/>
          <w:szCs w:val="22"/>
          <w:color w:val="auto"/>
        </w:rPr>
        <w:t>Excluding the impact from last year’s change in accounting estimate relating to outstanding gift cards, fourth quarter 2025 net sales increased approximately 9% compared to approximately $2.080 billion last year, adjusted operating income increased approximately 16% compared to approximately $273 million last year and adjusted net income per diluted share increased approximately 18% compared to approximately $2.35 last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Full Year 2025 Results</w:t>
      </w:r>
    </w:p>
    <w:p>
      <w:pPr>
        <w:spacing w:after="0" w:line="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The Company reported net sales of $6.553 billion for fiscal year 2025, an increase of 5% compared to net sales of $6.230 billion for fiscal year 2024 and above our previously communicated guidance range of $6.450 billion to $6.480 billion. Total comparable sales for fiscal year 2025 were 5%.</w:t>
      </w:r>
    </w:p>
    <w:p>
      <w:pPr>
        <w:spacing w:after="0" w:line="205"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The Company reported operating income for fiscal year 2025 of $271 million compared to $310 million in fiscal year 2024. Net income was $161 million, or $1.93 per diluted share for fiscal year 2025 compared to net income of $165 million, or $2.05 per diluted share for fiscal year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Excluding the impact of the adjusted items described at the conclusion of this press release, adjusted operating income for fiscal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year 2025 was $403 million, which was above our previously communicated guidance range of adjusted operating income of</w:t>
      </w:r>
    </w:p>
    <w:p>
      <w:pPr>
        <w:spacing w:after="0"/>
        <w:rPr>
          <w:sz w:val="20"/>
          <w:szCs w:val="20"/>
          <w:color w:val="auto"/>
        </w:rPr>
      </w:pPr>
      <w:r>
        <w:rPr>
          <w:rFonts w:ascii="Times New Roman" w:cs="Times New Roman" w:eastAsia="Times New Roman" w:hAnsi="Times New Roman"/>
          <w:sz w:val="21"/>
          <w:szCs w:val="21"/>
          <w:color w:val="auto"/>
        </w:rPr>
        <w:t>$350 million to $375 million. This result compares to adjusted operating income of $373 million in fiscal year 2024. Adjusted net</w:t>
      </w:r>
    </w:p>
    <w:p>
      <w:pPr>
        <w:spacing w:after="0" w:line="219" w:lineRule="auto"/>
        <w:rPr>
          <w:sz w:val="20"/>
          <w:szCs w:val="20"/>
          <w:color w:val="auto"/>
        </w:rPr>
      </w:pPr>
      <w:r>
        <w:rPr>
          <w:rFonts w:ascii="Times New Roman" w:cs="Times New Roman" w:eastAsia="Times New Roman" w:hAnsi="Times New Roman"/>
          <w:sz w:val="22"/>
          <w:szCs w:val="22"/>
          <w:color w:val="auto"/>
        </w:rPr>
        <w:t>income for fiscal year 2025 was $250 million, or $3.00 per diluted share. This result compares to adjusted net income of $218</w:t>
      </w:r>
    </w:p>
    <w:p>
      <w:pPr>
        <w:spacing w:after="0"/>
        <w:rPr>
          <w:sz w:val="20"/>
          <w:szCs w:val="20"/>
          <w:color w:val="auto"/>
        </w:rPr>
      </w:pPr>
      <w:r>
        <w:rPr>
          <w:rFonts w:ascii="Times New Roman" w:cs="Times New Roman" w:eastAsia="Times New Roman" w:hAnsi="Times New Roman"/>
          <w:sz w:val="22"/>
          <w:szCs w:val="22"/>
          <w:color w:val="auto"/>
        </w:rPr>
        <w:t>million, or $2.69 per diluted share for fiscal year 2024.</w:t>
      </w:r>
    </w:p>
    <w:p>
      <w:pPr>
        <w:spacing w:after="0" w:line="209"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Excluding the impact from last year’s change in accounting estimate relating to outstanding gift cards, fiscal year 2025 net sales increased approximately 6% compared to approximately $6.204 billion last year, adjusted operating income increased approximately 16% compared to approximately $347 million last year and adjusted net income per diluted share increased approximately 22% compared to approximately $2.45 last year.</w:t>
      </w:r>
    </w:p>
    <w:p>
      <w:pPr>
        <w:sectPr>
          <w:pgSz w:w="11900" w:h="16838" w:orient="portrait"/>
          <w:cols w:equalWidth="0" w:num="1">
            <w:col w:w="11220"/>
          </w:cols>
          <w:pgMar w:left="320" w:top="76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Full Year and First Quarter 2026 Outlook</w:t>
      </w:r>
    </w:p>
    <w:p>
      <w:pPr>
        <w:spacing w:after="0" w:line="18"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The Company is forecasting net sales for the first quarter of 2026 to be in the range of $1.490 billion to $1.525 billion compared to net sales of $1.353 billion for the first quarter of 2025. At this forecasted level of net sales, operating income for the first quarter of 2026 is expected to be in the range of $32 million to $42 million compared to adjusted operating income of $32 million for the first quarter of 2025.</w:t>
      </w:r>
    </w:p>
    <w:p>
      <w:pPr>
        <w:spacing w:after="0" w:line="204"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21"/>
          <w:szCs w:val="21"/>
          <w:color w:val="auto"/>
        </w:rPr>
        <w:t>The Company is forecasting fiscal year 2026 net sales to be in the range of $6.850 billion to $6.950 billion compared to net sales of $6.553 billion in fiscal year 2025. At this forecasted level of net sales, operating income for fiscal year 2026 is expected to be in the range of $430 million to $460 million compared to fiscal year 2025 adjusted operating income of $403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Strategic Alternatives for DailyLook</w:t>
      </w:r>
    </w:p>
    <w:p>
      <w:pPr>
        <w:spacing w:after="0" w:line="18"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2"/>
          <w:szCs w:val="22"/>
          <w:color w:val="auto"/>
        </w:rPr>
        <w:t>The Company has initiated a strategic review of DailyLook, a non-core asset within VS&amp;Co. Acquired through the Adore Me transaction in December 2022, DailyLook has grown rapidly and achieved meaningful scale. As part of VS&amp;Co’s continued focus on its core business, the Company is evaluating opportunities to position DailyLook for long-term success. This strategic review reflects VS&amp;Co’s commitment to advancing the global growth of its two iconic brands, Victoria’s Secret and PINK, through the execution of its Path to Potential strategy. Additionally, the Company continues to assess the Adore Me business and explore opportunities to optimize it within the broader portfolio.</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Adjusted Financial Information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the conclusion of this press release, we have included a reconciliation of reported to adjusted results.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Quarterly Earnings Conference Call</w:t>
      </w:r>
    </w:p>
    <w:p>
      <w:pPr>
        <w:spacing w:after="0" w:line="18"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22"/>
          <w:szCs w:val="22"/>
          <w:color w:val="auto"/>
        </w:rPr>
        <w:t xml:space="preserve">Victoria’s Secret &amp; Co. will conduct its fourth quarter earnings call at 8:30 a.m. Eastern on Thursday, March 5, 2026. To listen, call 1-800-619-9066 (international dial-in number: 1-212-519-0836); passcode 5358727. For an audio replay, call 1-800-839-2204 (international replay number: 1-203-369-3032); passcode 2485654 or log onto </w:t>
      </w:r>
      <w:r>
        <w:rPr>
          <w:rFonts w:ascii="Times New Roman" w:cs="Times New Roman" w:eastAsia="Times New Roman" w:hAnsi="Times New Roman"/>
          <w:sz w:val="22"/>
          <w:szCs w:val="22"/>
          <w:u w:val="single" w:color="auto"/>
          <w:color w:val="auto"/>
        </w:rPr>
        <w:t>www.victoriassecretandco.com</w:t>
      </w:r>
      <w:r>
        <w:rPr>
          <w:rFonts w:ascii="Times New Roman" w:cs="Times New Roman" w:eastAsia="Times New Roman" w:hAnsi="Times New Roman"/>
          <w:sz w:val="22"/>
          <w:szCs w:val="22"/>
          <w:color w:val="auto"/>
        </w:rPr>
        <w:t>. The materials accompanying the earnings call have been posted on the Investors section of the Company’s website. The audio replay will be available approximately two hours after the conclusion of the call.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Victoria’s Secret &amp; Co.</w:t>
      </w:r>
    </w:p>
    <w:p>
      <w:pPr>
        <w:spacing w:after="0" w:line="5"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21"/>
          <w:szCs w:val="21"/>
          <w:color w:val="auto"/>
        </w:rPr>
        <w:t>Victoria’s Secret &amp; Co. (NYSE: VSCO) is a specialty retailer of modern, fashion-inspired collections including signature bras, panties, lingerie, sleepwear, apparel, sport and swim as well as award-winning prestige fragrances and body care. VS&amp;Co is comprised of market leading brands, Victoria’s Secret and PINK, that strive to inspire confidence, spark joy and celebrate sexy. Additionally, Adore Me, our digital intimates brand serves women across budgets and lifestyles. We are committed to empowering our more than 30,000 associates across a global footprint of 1,420 retail stores in approximately 70 countries.</w:t>
      </w:r>
    </w:p>
    <w:p>
      <w:pPr>
        <w:sectPr>
          <w:pgSz w:w="11900" w:h="16838" w:orient="portrait"/>
          <w:cols w:equalWidth="0" w:num="1">
            <w:col w:w="11240"/>
          </w:cols>
          <w:pgMar w:left="320" w:top="7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Safe Harbor Statement Under the Private Securities Litigation Reform Act of 1995</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goals, intentions, beliefs and expectations. Words such as “estimate,” “commit,” “will,” “target,” “forecast,” “goal,” “project,” “plan,” “believe,” “seek,” “strive,” “expect,” “anticipate,” “intend,” “continue,” “potential” or the negative of these words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spacing w:after="0" w:line="20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general economic conditions, inflation, and changes in consumer confidence and consumer spending patterns;</w:t>
      </w:r>
    </w:p>
    <w:p>
      <w:pPr>
        <w:spacing w:after="0" w:line="13" w:lineRule="exact"/>
        <w:rPr>
          <w:rFonts w:ascii="Arial" w:cs="Arial" w:eastAsia="Arial" w:hAnsi="Arial"/>
          <w:sz w:val="22"/>
          <w:szCs w:val="22"/>
          <w:color w:val="auto"/>
        </w:rPr>
      </w:pPr>
    </w:p>
    <w:p>
      <w:pPr>
        <w:ind w:left="660" w:hanging="328"/>
        <w:spacing w:after="0" w:line="230"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Times New Roman" w:cs="Times New Roman" w:eastAsia="Times New Roman" w:hAnsi="Times New Roman"/>
          <w:sz w:val="22"/>
          <w:szCs w:val="22"/>
          <w:color w:val="auto"/>
        </w:rPr>
      </w:pPr>
    </w:p>
    <w:p>
      <w:pPr>
        <w:ind w:left="660" w:hanging="328"/>
        <w:spacing w:after="0" w:line="224"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in the global trade environment, including the imposition or threatened imposition of tariffs or other trade policies and any retaliatory measures imposed by impacted exporting countries;</w:t>
      </w:r>
    </w:p>
    <w:p>
      <w:pPr>
        <w:ind w:left="660" w:hanging="328"/>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successfully implement our strategic plan;</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difficulties arising from changes and turnover in company leadership or other key positions;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develop and retain qualified associates and manage labor-related costs;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dependence on traffic to our stores and the availability of suitable store locations on satisfactory terms;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expand internationally and related risks;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operations and performance of our franchisees, licensees, wholesalers and joint venture partners;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grow our direct channel business;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protect our reputation and the image and value of our brands;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customers with marketing, advertising and promotional programs;</w:t>
      </w:r>
    </w:p>
    <w:p>
      <w:pPr>
        <w:ind w:left="660" w:hanging="328"/>
        <w:spacing w:after="0" w:line="216"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highly competitive nature of the retail industry and the segments in which we operate;</w:t>
      </w:r>
    </w:p>
    <w:p>
      <w:pPr>
        <w:ind w:left="660" w:hanging="328"/>
        <w:spacing w:after="0" w:line="23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consumer acceptance of our products and our ability to manage the life cycle of our brands, remain current with fashion trends, and develop and launch new merchandise and product lines successfully;</w:t>
      </w:r>
    </w:p>
    <w:p>
      <w:pPr>
        <w:ind w:left="660" w:hanging="328"/>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integrate acquired businesses and realize the benefits and synergies sought with such acquisitions;</w:t>
      </w:r>
    </w:p>
    <w:p>
      <w:pPr>
        <w:ind w:left="660" w:right="20" w:hanging="328"/>
        <w:spacing w:after="0" w:line="230"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incorporate artificial intelligence and other emerging technologies into our business operations successfully and ethically while effectively managing the associated risks;</w:t>
      </w:r>
    </w:p>
    <w:p>
      <w:pPr>
        <w:spacing w:after="0" w:line="1" w:lineRule="exact"/>
        <w:rPr>
          <w:rFonts w:ascii="Times New Roman" w:cs="Times New Roman" w:eastAsia="Times New Roman" w:hAnsi="Times New Roman"/>
          <w:sz w:val="22"/>
          <w:szCs w:val="22"/>
          <w:color w:val="auto"/>
        </w:rPr>
      </w:pP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source materials and produce, distribute and sell merchandise on a global basis, including risks related to:</w:t>
      </w:r>
    </w:p>
    <w:p>
      <w:pPr>
        <w:ind w:left="1300" w:hanging="320"/>
        <w:spacing w:after="0" w:line="229" w:lineRule="auto"/>
        <w:tabs>
          <w:tab w:leader="none" w:pos="1300"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political instability and geopolitical conflicts;</w:t>
      </w:r>
    </w:p>
    <w:p>
      <w:pPr>
        <w:ind w:left="1300" w:hanging="320"/>
        <w:spacing w:after="0" w:line="230" w:lineRule="auto"/>
        <w:tabs>
          <w:tab w:leader="none" w:pos="130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environmental hazards, severe weather and natural disasters;</w:t>
      </w:r>
    </w:p>
    <w:p>
      <w:pPr>
        <w:ind w:left="1300" w:hanging="320"/>
        <w:spacing w:after="0"/>
        <w:tabs>
          <w:tab w:leader="none" w:pos="1300"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health hazards and pandemics;</w:t>
      </w:r>
    </w:p>
    <w:p>
      <w:pPr>
        <w:sectPr>
          <w:pgSz w:w="11900" w:h="16838" w:orient="portrait"/>
          <w:cols w:equalWidth="0" w:num="1">
            <w:col w:w="11240"/>
          </w:cols>
          <w:pgMar w:left="320" w:top="756" w:right="339" w:bottom="1440" w:gutter="0" w:footer="0" w:header="0"/>
        </w:sectPr>
      </w:pPr>
    </w:p>
    <w:bookmarkStart w:id="7" w:name="page8"/>
    <w:bookmarkEnd w:id="7"/>
    <w:p>
      <w:pPr>
        <w:ind w:left="1300" w:hanging="320"/>
        <w:spacing w:after="0"/>
        <w:tabs>
          <w:tab w:leader="none" w:pos="1300"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delays or disruptions in shipping and transportation and related pricing impacts;</w:t>
      </w:r>
    </w:p>
    <w:p>
      <w:pPr>
        <w:spacing w:after="0" w:line="13" w:lineRule="exact"/>
        <w:rPr>
          <w:rFonts w:ascii="Arial" w:cs="Arial" w:eastAsia="Arial" w:hAnsi="Arial"/>
          <w:sz w:val="22"/>
          <w:szCs w:val="22"/>
          <w:color w:val="auto"/>
        </w:rPr>
      </w:pPr>
    </w:p>
    <w:p>
      <w:pPr>
        <w:ind w:left="1300" w:hanging="320"/>
        <w:spacing w:after="0" w:line="230" w:lineRule="auto"/>
        <w:tabs>
          <w:tab w:leader="none" w:pos="1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foreign currency exchange rate fluctuations; and</w:t>
      </w:r>
    </w:p>
    <w:p>
      <w:pPr>
        <w:ind w:left="1300" w:hanging="320"/>
        <w:spacing w:after="0" w:line="229" w:lineRule="auto"/>
        <w:tabs>
          <w:tab w:leader="none" w:pos="1300"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disruption due to labor disputes;</w:t>
      </w: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geographic concentration of production and distribution facilities in central Ohio and Southeast Asia;</w:t>
      </w:r>
    </w:p>
    <w:p>
      <w:pPr>
        <w:ind w:left="660" w:right="20" w:hanging="328"/>
        <w:spacing w:after="0" w:line="223"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the ability of our vendors to manufacture and deliver products in a timely manner, meet quality standards and comply with applicable laws and regulations;</w:t>
      </w:r>
    </w:p>
    <w:p>
      <w:pPr>
        <w:spacing w:after="0" w:line="1" w:lineRule="exact"/>
        <w:rPr>
          <w:rFonts w:ascii="Arial" w:cs="Arial" w:eastAsia="Arial" w:hAnsi="Arial"/>
          <w:sz w:val="22"/>
          <w:szCs w:val="22"/>
          <w:color w:val="auto"/>
        </w:rPr>
      </w:pP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fluctuations in freight, product input and energy costs;</w:t>
      </w:r>
    </w:p>
    <w:p>
      <w:pPr>
        <w:ind w:left="660" w:hanging="328"/>
        <w:spacing w:after="0" w:line="230"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and our third-party service providers’ ability to implement and maintain information technology systems and to protect associated data and system availability against cybersecurity incidents and disruptions or failures of systems;</w:t>
      </w: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the security and privacy of customer, associate, third-party and company information;</w:t>
      </w: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stock price volatility;</w:t>
      </w: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shareholder activism matters;</w:t>
      </w: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our credit ratings;</w:t>
      </w: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comply with legal and regulatory requirements; and</w:t>
      </w: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legal, tax, trade and other regulatory matters.</w:t>
      </w:r>
    </w:p>
    <w:p>
      <w:pPr>
        <w:spacing w:after="0" w:line="20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1"/>
          <w:szCs w:val="21"/>
          <w:color w:val="auto"/>
        </w:rPr>
        <w:t>All forward-looking statements are made only as of the date of this press release. 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2024 Annual Report on Form 10-K filed with the Securities and Exchange Commission on March 21,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For further information, please contact:</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10"/>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Victoria’s Secret &amp; Co.:</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Priya Trivedi</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Brooke Wilson</w:t>
            </w:r>
          </w:p>
        </w:tc>
      </w:tr>
      <w:tr>
        <w:trPr>
          <w:trHeight w:val="230"/>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communications@victoria.com</w:t>
            </w:r>
          </w:p>
        </w:tc>
      </w:tr>
    </w:tbl>
    <w:p>
      <w:pPr>
        <w:sectPr>
          <w:pgSz w:w="11900" w:h="16838" w:orient="portrait"/>
          <w:cols w:equalWidth="0" w:num="1">
            <w:col w:w="11240"/>
          </w:cols>
          <w:pgMar w:left="320" w:top="76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Total Net Sales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Fourth</w:t>
            </w: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Fourth</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9"/>
        </w:trPr>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2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w:t>
            </w:r>
          </w:p>
        </w:tc>
        <w:tc>
          <w:tcPr>
            <w:tcW w:w="20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Full Year</w:t>
            </w:r>
          </w:p>
        </w:tc>
        <w:tc>
          <w:tcPr>
            <w:tcW w:w="1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Full Year</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w:t>
            </w:r>
          </w:p>
        </w:tc>
      </w:tr>
      <w:tr>
        <w:trPr>
          <w:trHeight w:val="238"/>
        </w:trPr>
        <w:tc>
          <w:tcPr>
            <w:tcW w:w="2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w:t>
            </w: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w:t>
            </w: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1,160.1</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3,427.3</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2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Direct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2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2,105.5</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6,553.4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6,229.6</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
        </w:trPr>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260" w:right="80" w:hanging="212"/>
        <w:spacing w:after="0" w:line="221" w:lineRule="auto"/>
        <w:tabs>
          <w:tab w:leader="none" w:pos="161"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Full year 2025 results include an approximately $20 million negative impact on direct net sales from the website closure due to the security incident in the second quarter of 2025. Beginning in the third quarter of 2025, direct sales in the European Union are reported in our International channel. Prior to the third quarter of 2025, direct sales in the European Union are reported in our Direct channel. Direct sales in the European Union reported in the International channel were $32 million in the fourth quarter of 2025 and $44 million in fiscal year 2025.</w:t>
      </w:r>
    </w:p>
    <w:p>
      <w:pPr>
        <w:spacing w:after="0" w:line="1" w:lineRule="exact"/>
        <w:rPr>
          <w:sz w:val="20"/>
          <w:szCs w:val="20"/>
          <w:color w:val="auto"/>
        </w:rPr>
      </w:pPr>
    </w:p>
    <w:p>
      <w:pPr>
        <w:ind w:left="260" w:right="180" w:hanging="212"/>
        <w:spacing w:after="0" w:line="222" w:lineRule="auto"/>
        <w:tabs>
          <w:tab w:leader="none" w:pos="161"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Results include consolidated joint venture sales in China, royalties associated with franchise partners sales, wholesale sales, and beginning in the third quarter of 2025 direct sales in the European Union. Prior to the third quarter of 2025, direct sales in the European Union are reported in our Direct channel. Direct sales in the European Union reported in the International channel were $32 million in the fourth quarter of 2025 and $44 million in fiscal year 2025.</w:t>
      </w: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Comparable Sales Increase (Decrease):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Fourth</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Fourth</w:t>
            </w:r>
          </w:p>
        </w:tc>
        <w:tc>
          <w:tcPr>
            <w:tcW w:w="1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Full Year</w:t>
            </w:r>
          </w:p>
        </w:tc>
        <w:tc>
          <w:tcPr>
            <w:tcW w:w="13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Full Year</w:t>
            </w: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440" w:type="dxa"/>
            <w:vAlign w:val="bottom"/>
            <w:gridSpan w:val="2"/>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6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Stores and Direct</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30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Stores Only</w:t>
            </w:r>
            <w:r>
              <w:rPr>
                <w:rFonts w:ascii="Times New Roman" w:cs="Times New Roman" w:eastAsia="Times New Roman" w:hAnsi="Times New Roman"/>
                <w:sz w:val="23"/>
                <w:szCs w:val="23"/>
                <w:color w:val="auto"/>
                <w:vertAlign w:val="superscript"/>
              </w:rPr>
              <w:t>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212529"/>
        </w:rPr>
        <w:t>Please refer to our filings with the Securities and Exchange Commission for further discussion regarding our comparable sales calculation.</w:t>
      </w:r>
    </w:p>
    <w:p>
      <w:pPr>
        <w:ind w:left="120" w:hanging="112"/>
        <w:spacing w:after="0" w:line="201" w:lineRule="auto"/>
        <w:tabs>
          <w:tab w:leader="none" w:pos="1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Results include company-operated stores in the U.S. and Canada, consolidated joint venture stores in China and direct sales.</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 Results include company-operated stores in the U.S. and Canada and consolidated joint venture stores in China.</w:t>
      </w:r>
    </w:p>
    <w:p>
      <w:pPr>
        <w:sectPr>
          <w:pgSz w:w="11900" w:h="16838" w:orient="portrait"/>
          <w:cols w:equalWidth="0" w:num="1">
            <w:col w:w="11240"/>
          </w:cols>
          <w:pgMar w:left="320" w:top="77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Total Stores: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Stores at</w:t>
            </w: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Stores at</w:t>
            </w:r>
          </w:p>
        </w:tc>
      </w:tr>
      <w:tr>
        <w:trPr>
          <w:trHeight w:val="238"/>
        </w:trPr>
        <w:tc>
          <w:tcPr>
            <w:tcW w:w="2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2/1/25</w:t>
            </w:r>
          </w:p>
        </w:tc>
        <w:tc>
          <w:tcPr>
            <w:tcW w:w="1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Opened</w:t>
            </w:r>
          </w:p>
        </w:tc>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Closed</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1/31/26</w:t>
            </w:r>
          </w:p>
        </w:tc>
      </w:tr>
      <w:tr>
        <w:trPr>
          <w:trHeight w:val="169"/>
        </w:trPr>
        <w:tc>
          <w:tcPr>
            <w:tcW w:w="5600" w:type="dxa"/>
            <w:vAlign w:val="bottom"/>
            <w:gridSpan w:val="5"/>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782</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766</w:t>
            </w:r>
          </w:p>
        </w:tc>
      </w:tr>
      <w:tr>
        <w:trPr>
          <w:trHeight w:val="230"/>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23"/>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806</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790</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9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189"/>
        </w:trPr>
        <w:tc>
          <w:tcPr>
            <w:tcW w:w="56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0"/>
        </w:trPr>
        <w:tc>
          <w:tcPr>
            <w:tcW w:w="5600" w:type="dxa"/>
            <w:vAlign w:val="bottom"/>
            <w:gridSpan w:val="5"/>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Beauty &amp; Accessories</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29"/>
        </w:trPr>
        <w:tc>
          <w:tcPr>
            <w:tcW w:w="56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23"/>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(11)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r>
        <w:trPr>
          <w:trHeight w:val="256"/>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189"/>
        </w:trPr>
        <w:tc>
          <w:tcPr>
            <w:tcW w:w="56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Beauty &amp; Accessories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324</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181</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505</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562</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9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29"/>
        </w:trPr>
        <w:tc>
          <w:tcPr>
            <w:tcW w:w="56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Adore Me</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48"/>
        </w:trPr>
        <w:tc>
          <w:tcPr>
            <w:tcW w:w="560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1,387</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111</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(78)</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1,420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Includes six partner-operated stores at 1/31/26.</w:t>
      </w:r>
    </w:p>
    <w:p>
      <w:pPr>
        <w:sectPr>
          <w:pgSz w:w="11900" w:h="16838" w:orient="portrait"/>
          <w:cols w:equalWidth="0" w:num="1">
            <w:col w:w="11220"/>
          </w:cols>
          <w:pgMar w:left="320" w:top="770"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6"/>
        </w:trPr>
        <w:tc>
          <w:tcPr>
            <w:tcW w:w="7800" w:type="dxa"/>
            <w:vAlign w:val="bottom"/>
          </w:tcPr>
          <w:p>
            <w:pPr>
              <w:jc w:val="center"/>
              <w:ind w:left="3371"/>
              <w:spacing w:after="0"/>
              <w:rPr>
                <w:sz w:val="20"/>
                <w:szCs w:val="20"/>
                <w:color w:val="auto"/>
              </w:rPr>
            </w:pPr>
            <w:r>
              <w:rPr>
                <w:rFonts w:ascii="Times New Roman" w:cs="Times New Roman" w:eastAsia="Times New Roman" w:hAnsi="Times New Roman"/>
                <w:sz w:val="17"/>
                <w:szCs w:val="17"/>
                <w:b w:val="1"/>
                <w:bCs w:val="1"/>
                <w:color w:val="auto"/>
                <w:w w:val="99"/>
              </w:rPr>
              <w:t>VICTORIA’S SECRET &amp; CO.</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w w:val="99"/>
              </w:rPr>
              <w:t>CONSOLIDATED STATEMENTS OF INCOME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9580" w:type="dxa"/>
            <w:vAlign w:val="bottom"/>
            <w:gridSpan w:val="4"/>
          </w:tcPr>
          <w:p>
            <w:pPr>
              <w:jc w:val="center"/>
              <w:ind w:left="1591"/>
              <w:spacing w:after="0"/>
              <w:rPr>
                <w:sz w:val="20"/>
                <w:szCs w:val="20"/>
                <w:color w:val="auto"/>
              </w:rPr>
            </w:pPr>
            <w:r>
              <w:rPr>
                <w:rFonts w:ascii="Times New Roman" w:cs="Times New Roman" w:eastAsia="Times New Roman" w:hAnsi="Times New Roman"/>
                <w:sz w:val="17"/>
                <w:szCs w:val="17"/>
                <w:b w:val="1"/>
                <w:bCs w:val="1"/>
                <w:color w:val="auto"/>
              </w:rPr>
              <w:t>THIRTEEN WEEKS ENDED JANUARY 31, 2026 AND FEBRUARY 1, 2025</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5"/>
        </w:trPr>
        <w:tc>
          <w:tcPr>
            <w:tcW w:w="78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2,269,804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2,105,501</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(1,414,809)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(1,292,068)</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813,433</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(626,025)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(545,747)</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267,686</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(20,147)</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244,281</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50,363</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193,918</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183,634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193,412</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Diluted Share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85,850</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83,148</w:t>
            </w:r>
          </w:p>
        </w:tc>
      </w:tr>
      <w:tr>
        <w:trPr>
          <w:trHeight w:val="20"/>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97"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800" w:type="dxa"/>
            <w:vAlign w:val="bottom"/>
          </w:tcPr>
          <w:p>
            <w:pPr>
              <w:jc w:val="center"/>
              <w:ind w:left="3371"/>
              <w:spacing w:after="0"/>
              <w:rPr>
                <w:sz w:val="20"/>
                <w:szCs w:val="20"/>
                <w:color w:val="auto"/>
              </w:rPr>
            </w:pPr>
            <w:r>
              <w:rPr>
                <w:rFonts w:ascii="Times New Roman" w:cs="Times New Roman" w:eastAsia="Times New Roman" w:hAnsi="Times New Roman"/>
                <w:sz w:val="17"/>
                <w:szCs w:val="17"/>
                <w:b w:val="1"/>
                <w:bCs w:val="1"/>
                <w:color w:val="auto"/>
                <w:w w:val="99"/>
              </w:rPr>
              <w:t>VICTORIA’S SECRET &amp; CO.</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w w:val="99"/>
              </w:rPr>
              <w:t>CONSOLIDATED STATEMENTS OF INCOME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9580" w:type="dxa"/>
            <w:vAlign w:val="bottom"/>
            <w:gridSpan w:val="4"/>
          </w:tcPr>
          <w:p>
            <w:pPr>
              <w:jc w:val="center"/>
              <w:ind w:left="1591"/>
              <w:spacing w:after="0"/>
              <w:rPr>
                <w:sz w:val="20"/>
                <w:szCs w:val="20"/>
                <w:color w:val="auto"/>
              </w:rPr>
            </w:pPr>
            <w:r>
              <w:rPr>
                <w:rFonts w:ascii="Times New Roman" w:cs="Times New Roman" w:eastAsia="Times New Roman" w:hAnsi="Times New Roman"/>
                <w:sz w:val="17"/>
                <w:szCs w:val="17"/>
                <w:b w:val="1"/>
                <w:bCs w:val="1"/>
                <w:color w:val="auto"/>
              </w:rPr>
              <w:t>FIFTY-TWO WEEKS ENDED JANUARY 31, 2026 AND FEBRUARY 1, 2025</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5"/>
        </w:trPr>
        <w:tc>
          <w:tcPr>
            <w:tcW w:w="78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6,553,409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6,229,560</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(4,169,030)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(3,945,159)</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2,384,379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2,284,401</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(2,113,737)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(1,974,800)</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309,601</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(85,678)</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221,003</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52,178</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168,825</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160,858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165,344</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Diluted Share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83,425</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80,726</w:t>
            </w:r>
          </w:p>
        </w:tc>
      </w:tr>
      <w:tr>
        <w:trPr>
          <w:trHeight w:val="20"/>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9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t>VICTORIA’S SECRET &amp; CO.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NON-GAAP FINANCIAL INFORMATION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PERIODS ENDED JANUARY 31, 2026 AND FEBRUARY 1, 2025</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86" w:lineRule="exact"/>
        <w:rPr>
          <w:sz w:val="20"/>
          <w:szCs w:val="20"/>
          <w:color w:val="auto"/>
        </w:rPr>
      </w:pPr>
    </w:p>
    <w:p>
      <w:pPr>
        <w:ind w:left="20" w:right="40"/>
        <w:spacing w:after="0"/>
        <w:rPr>
          <w:sz w:val="20"/>
          <w:szCs w:val="20"/>
          <w:color w:val="auto"/>
        </w:rPr>
      </w:pPr>
      <w:r>
        <w:rPr>
          <w:rFonts w:ascii="Times New Roman" w:cs="Times New Roman" w:eastAsia="Times New Roman" w:hAnsi="Times New Roman"/>
          <w:sz w:val="16"/>
          <w:szCs w:val="16"/>
          <w:i w:val="1"/>
          <w:iCs w:val="1"/>
          <w:color w:val="auto"/>
        </w:rPr>
        <w:t>In addition to our results provided in accordance with GAAP, provided below are non-GAAP financial measures that present operating income, net income attributable to Victoria’s Secret &amp; Co. and net income per diluted share attributable to Victoria’s Secret &amp; Co. on an adjusted basis for the reported periods provided in this release,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each non-GAAP financial measure.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Fourth Quarter</w:t>
            </w:r>
          </w:p>
        </w:tc>
        <w:tc>
          <w:tcPr>
            <w:tcW w:w="220" w:type="dxa"/>
            <w:vAlign w:val="bottom"/>
          </w:tcPr>
          <w:p>
            <w:pPr>
              <w:spacing w:after="0"/>
              <w:rPr>
                <w:sz w:val="18"/>
                <w:szCs w:val="18"/>
                <w:color w:val="auto"/>
              </w:rPr>
            </w:pPr>
          </w:p>
        </w:tc>
        <w:tc>
          <w:tcPr>
            <w:tcW w:w="184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Year-to-Date</w:t>
            </w:r>
          </w:p>
        </w:tc>
      </w:tr>
      <w:tr>
        <w:trPr>
          <w:trHeight w:val="211"/>
        </w:trPr>
        <w:tc>
          <w:tcPr>
            <w:tcW w:w="20" w:type="dxa"/>
            <w:vAlign w:val="bottom"/>
            <w:tcBorders>
              <w:bottom w:val="single" w:sz="8" w:color="CCEEFF"/>
            </w:tcBorders>
          </w:tcPr>
          <w:p>
            <w:pPr>
              <w:spacing w:after="0"/>
              <w:rPr>
                <w:sz w:val="18"/>
                <w:szCs w:val="18"/>
                <w:color w:val="auto"/>
              </w:rPr>
            </w:pPr>
          </w:p>
        </w:tc>
        <w:tc>
          <w:tcPr>
            <w:tcW w:w="400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57"/>
        </w:trPr>
        <w:tc>
          <w:tcPr>
            <w:tcW w:w="6980" w:type="dxa"/>
            <w:vAlign w:val="bottom"/>
            <w:gridSpan w:val="4"/>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Reconciliation of Reported to Adjusted Operating Income</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auto"/>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6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Reported Operating Income - GAAP</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228,970</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267,686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270,642</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309,601</w:t>
            </w:r>
          </w:p>
        </w:tc>
      </w:tr>
      <w:tr>
        <w:trPr>
          <w:trHeight w:val="219"/>
        </w:trPr>
        <w:tc>
          <w:tcPr>
            <w:tcW w:w="6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Adore Me Long-Lived Assets Impairment (a)</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Interchange Fee Settlement (b)</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Adore Me and DailyLook Fulfillment Center Restructuring (c)</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(e)</w:t>
            </w: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25,136</w:t>
            </w:r>
          </w:p>
        </w:tc>
      </w:tr>
      <w:tr>
        <w:trPr>
          <w:trHeight w:val="219"/>
        </w:trPr>
        <w:tc>
          <w:tcPr>
            <w:tcW w:w="6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Organizational Restructuring and Other One-time Items (f)</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12,548</w:t>
            </w:r>
          </w:p>
        </w:tc>
      </w:tr>
      <w:tr>
        <w:trPr>
          <w:trHeight w:val="213"/>
        </w:trPr>
        <w:tc>
          <w:tcPr>
            <w:tcW w:w="6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(g)</w:t>
            </w: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w:t>
            </w:r>
          </w:p>
        </w:tc>
      </w:tr>
      <w:tr>
        <w:trPr>
          <w:trHeight w:val="216"/>
        </w:trPr>
        <w:tc>
          <w:tcPr>
            <w:tcW w:w="6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Method Investment Impairment and Related Charges (h)</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21,614</w:t>
            </w:r>
          </w:p>
        </w:tc>
      </w:tr>
      <w:tr>
        <w:trPr>
          <w:trHeight w:val="212"/>
        </w:trPr>
        <w:tc>
          <w:tcPr>
            <w:tcW w:w="6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315,757</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299,298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402,529</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373,137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176"/>
        </w:trPr>
        <w:tc>
          <w:tcPr>
            <w:tcW w:w="698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Reconciliation of Reported to Adjusted Net Income Attributable to Victoria’s Secret &amp; Co.</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auto"/>
            </w:tcBorders>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6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Net Income Attributable to Victoria’s Secret &amp; Co. - GAAP</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165,344</w:t>
            </w:r>
          </w:p>
        </w:tc>
      </w:tr>
      <w:tr>
        <w:trPr>
          <w:trHeight w:val="213"/>
        </w:trPr>
        <w:tc>
          <w:tcPr>
            <w:tcW w:w="6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Adore Me Long-Lived Assets Impairment (a)</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Interchange Fee Settlement (b)</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Adore Me and DailyLook Fulfillment Center Restructuring (c)</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China Deferred Tax Asset Valuation Reserve Release (d)</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(e)</w:t>
            </w: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25,136</w:t>
            </w:r>
          </w:p>
        </w:tc>
      </w:tr>
      <w:tr>
        <w:trPr>
          <w:trHeight w:val="219"/>
        </w:trPr>
        <w:tc>
          <w:tcPr>
            <w:tcW w:w="6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Organizational Restructuring and Other One-time Items (f)</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12,548</w:t>
            </w:r>
          </w:p>
        </w:tc>
      </w:tr>
      <w:tr>
        <w:trPr>
          <w:trHeight w:val="213"/>
        </w:trPr>
        <w:tc>
          <w:tcPr>
            <w:tcW w:w="6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(g)</w:t>
            </w: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9,244</w:t>
            </w:r>
          </w:p>
        </w:tc>
      </w:tr>
      <w:tr>
        <w:trPr>
          <w:trHeight w:val="219"/>
        </w:trPr>
        <w:tc>
          <w:tcPr>
            <w:tcW w:w="6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Method Investment Impairment and Related Charges (h)</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21,614</w:t>
            </w:r>
          </w:p>
        </w:tc>
      </w:tr>
      <w:tr>
        <w:trPr>
          <w:trHeight w:val="213"/>
        </w:trPr>
        <w:tc>
          <w:tcPr>
            <w:tcW w:w="69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Tax Effect of Adjusted Items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(44,381)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(54,175)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(16,359)</w:t>
            </w:r>
          </w:p>
        </w:tc>
      </w:tr>
      <w:tr>
        <w:trPr>
          <w:trHeight w:val="237"/>
        </w:trPr>
        <w:tc>
          <w:tcPr>
            <w:tcW w:w="69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Attributable to Victoria’s Secret &amp; Co.</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237,582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250,112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217,527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Reconciliation of Reported to Adjusted Net Income Per Diluted Share Attributable to 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711517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Reported Net Income Per Diluted Share Attributable to Victoria’s Secret &amp; Co. - GAAP</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Adore Me Long-Lived Assets Impairment (a)</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Interchange Fee Settlement (b)</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Adore Me and DailyLook Fulfillment Center Restructuring (c)</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 Deferred Tax Asset Valuation Reserve Release (d)</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(e)</w:t>
            </w:r>
          </w:p>
        </w:tc>
        <w:tc>
          <w:tcPr>
            <w:tcW w:w="3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r>
      <w:tr>
        <w:trPr>
          <w:trHeight w:val="21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Organizational Restructuring and Other One-time Items (f)</w:t>
            </w:r>
          </w:p>
        </w:tc>
        <w:tc>
          <w:tcPr>
            <w:tcW w:w="3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(g)</w:t>
            </w:r>
          </w:p>
        </w:tc>
        <w:tc>
          <w:tcPr>
            <w:tcW w:w="3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1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Method Investment Impairment and Related Charges (h)</w:t>
            </w:r>
          </w:p>
        </w:tc>
        <w:tc>
          <w:tcPr>
            <w:tcW w:w="3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r>
      <w:tr>
        <w:trPr>
          <w:trHeight w:val="237"/>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Share Attributable to Victoria’s Secret &amp; Co.</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90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Adjusted results exclude the following items:</w:t>
      </w:r>
    </w:p>
    <w:p>
      <w:pPr>
        <w:spacing w:after="0" w:line="102" w:lineRule="exact"/>
        <w:rPr>
          <w:sz w:val="20"/>
          <w:szCs w:val="20"/>
          <w:color w:val="auto"/>
        </w:rPr>
      </w:pPr>
    </w:p>
    <w:p>
      <w:pPr>
        <w:jc w:val="both"/>
        <w:ind w:firstLine="8"/>
        <w:spacing w:after="0" w:line="263" w:lineRule="auto"/>
        <w:tabs>
          <w:tab w:leader="none" w:pos="2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fourth quarter and year-to-date 2025, we recognized pre-tax expense of $119.6 million ($90.3 million net of tax expense of $29.3 million), $116.2 million included in general, administrative and store operating expense and $3.4 million included in buying and occupancy expense, related to the impairment of certain Adore Me long-lived tangible and intangible assets.</w:t>
      </w:r>
    </w:p>
    <w:p>
      <w:pPr>
        <w:spacing w:after="0" w:line="70"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fourth quarter and year-to-date 2025, we recognized a pre-tax gain, net of related administrative expenses, of $69.2 million ($51.9 million net of tax expense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$17.3 million) in general, administrative and store operating expense, related to the resolution of a credit card interchange fee litigation matter in which we were a plaintiff.</w:t>
      </w:r>
    </w:p>
    <w:p>
      <w:pPr>
        <w:spacing w:after="0" w:line="82" w:lineRule="exact"/>
        <w:rPr>
          <w:sz w:val="20"/>
          <w:szCs w:val="20"/>
          <w:color w:val="auto"/>
        </w:rPr>
      </w:pPr>
    </w:p>
    <w:p>
      <w:pPr>
        <w:ind w:right="20" w:firstLine="8"/>
        <w:spacing w:after="0" w:line="272" w:lineRule="auto"/>
        <w:tabs>
          <w:tab w:leader="none" w:pos="2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fourth quarter and year-to-date 2025, we recognized a pre-tax charge of $36.3 million ($27.5 million net of tax expense of $8.8 million), included in costs of goods sold, buying and occupancy expense, related to inventory reserves and severance expense as a result of unique operational disruptions that led to the restructuring of our Adore Me and DailyLook fulfillment operations.</w:t>
      </w:r>
    </w:p>
    <w:p>
      <w:pPr>
        <w:spacing w:after="0" w:line="49" w:lineRule="exact"/>
        <w:rPr>
          <w:rFonts w:ascii="Times New Roman" w:cs="Times New Roman" w:eastAsia="Times New Roman" w:hAnsi="Times New Roman"/>
          <w:sz w:val="16"/>
          <w:szCs w:val="16"/>
          <w:color w:val="auto"/>
        </w:rPr>
      </w:pPr>
    </w:p>
    <w:p>
      <w:pPr>
        <w:ind w:right="280" w:firstLine="8"/>
        <w:spacing w:after="0" w:line="280" w:lineRule="auto"/>
        <w:tabs>
          <w:tab w:leader="none" w:pos="22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fourth quarter and year-to-date 2025, we recognized a tax benefit of $23.6 million ($12.0 million net of $11.6 million net income attributable to noncontrolling interest) related to the full release of our valuation allowance on the deferred tax assets of our consolidated joint venture in China.</w:t>
      </w:r>
    </w:p>
    <w:p>
      <w:pPr>
        <w:spacing w:after="0" w:line="43" w:lineRule="exact"/>
        <w:rPr>
          <w:rFonts w:ascii="Times New Roman" w:cs="Times New Roman" w:eastAsia="Times New Roman" w:hAnsi="Times New Roman"/>
          <w:sz w:val="16"/>
          <w:szCs w:val="16"/>
          <w:color w:val="auto"/>
        </w:rPr>
      </w:pPr>
    </w:p>
    <w:p>
      <w:pPr>
        <w:ind w:right="80" w:firstLine="8"/>
        <w:spacing w:after="0" w:line="263" w:lineRule="auto"/>
        <w:tabs>
          <w:tab w:leader="none" w:pos="2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Year-to-date 2025, we recognized amortization expense of $18.9 million ($14.0 million net of tax expense of $4.9 million) in general, administrative and store operating expense, related to our definite-lived intangible assets. In the fourth quarter and year-to-date 2024, we recognized amortization expense of $6.3 million and $25.1 million ($4.6 million and $18.6 million net of tax expense of $1.7 million and $6.5 million, respectively) in general, administrative and store operating expense, related to our definite-lived intangible assets.</w:t>
      </w:r>
    </w:p>
    <w:p>
      <w:pPr>
        <w:spacing w:after="0" w:line="57" w:lineRule="exact"/>
        <w:rPr>
          <w:rFonts w:ascii="Times New Roman" w:cs="Times New Roman" w:eastAsia="Times New Roman" w:hAnsi="Times New Roman"/>
          <w:sz w:val="16"/>
          <w:szCs w:val="16"/>
          <w:color w:val="auto"/>
        </w:rPr>
      </w:pPr>
    </w:p>
    <w:p>
      <w:pPr>
        <w:ind w:firstLine="8"/>
        <w:spacing w:after="0" w:line="263" w:lineRule="auto"/>
        <w:tabs>
          <w:tab w:leader="none" w:pos="20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Year-to-date 2025, we recognized pre-tax charges of $20.3 million ($15.8 million net of tax expense of $4.5 million), $17.2 million included in general, administrative and store operating expense and $3.1 million included in buying and occupancy expense, related to activities to continue to restructure our executive leadership team and organizational structure, as well as net expense related to other one-time items. Year-to-date 2024, we recognized a pre-tax charge of $12.5 million ($10.6 million net of tax expense of $1.9 million) in general, administrative and store operating expense related to the appointment of a new CEO and the elimination of two executive officer roles to restructure our executive leadership team.</w:t>
      </w:r>
    </w:p>
    <w:p>
      <w:pPr>
        <w:spacing w:after="0" w:line="58" w:lineRule="exact"/>
        <w:rPr>
          <w:rFonts w:ascii="Times New Roman" w:cs="Times New Roman" w:eastAsia="Times New Roman" w:hAnsi="Times New Roman"/>
          <w:sz w:val="16"/>
          <w:szCs w:val="16"/>
          <w:color w:val="auto"/>
        </w:rPr>
      </w:pPr>
    </w:p>
    <w:p>
      <w:pPr>
        <w:ind w:right="220" w:firstLine="8"/>
        <w:spacing w:after="0" w:line="263" w:lineRule="auto"/>
        <w:tabs>
          <w:tab w:leader="none" w:pos="22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Year-to-date 2025, we recognized pre-tax expense of $5.9 million ($5.5 million net of tax expense of $0.4 million), included in general, administrative and store operating expense, related to the financial impact of purchase accounting items and professional service costs related to the acquisition of Adore Me. In the fourth quarter and year-to-date 2024, we recognized pre-tax expense of $4.9 million and $9.2 million ($1.5 million and $6.1 million net of tax expense of $3.4 million and $3.1 million, respectively), $3.7 million and $4.2 million included in general, administrative and store operating expense and interest expense of $1.2 million and $5.0 million, respectively, related to the financial impact of purchase accounting items related to the acquisition of Adore Me.</w:t>
      </w:r>
    </w:p>
    <w:p>
      <w:pPr>
        <w:spacing w:after="0" w:line="58" w:lineRule="exact"/>
        <w:rPr>
          <w:rFonts w:ascii="Times New Roman" w:cs="Times New Roman" w:eastAsia="Times New Roman" w:hAnsi="Times New Roman"/>
          <w:sz w:val="16"/>
          <w:szCs w:val="16"/>
          <w:color w:val="auto"/>
        </w:rPr>
      </w:pPr>
    </w:p>
    <w:p>
      <w:pPr>
        <w:ind w:right="620" w:firstLine="8"/>
        <w:spacing w:after="0" w:line="280" w:lineRule="auto"/>
        <w:tabs>
          <w:tab w:leader="none" w:pos="22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fourth quarter of 2024, we recognized pre-tax expense of $21.6 million ($16.9 million net of tax expense of $4.7 million) in costs of goods sold related to impairment and related charges for certain of our equity method investments.</w:t>
      </w:r>
    </w:p>
    <w:sectPr>
      <w:pgSz w:w="11900" w:h="16838" w:orient="portrait"/>
      <w:cols w:equalWidth="0" w:num="1">
        <w:col w:w="11220"/>
      </w:cols>
      <w:pgMar w:left="320" w:top="86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2026-03-05T06:04:46Z</dcterms:created>
  <dcterms:modified xsi:type="dcterms:W3CDTF">2026-03-05T06:04:46Z</dcterms:modified>
</cp:coreProperties>
</file>