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BBRC INTERNATIONAL PTE LTD</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Victoria's Secret &amp;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VSCO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PHILLIP STREET #11-01</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Arial" w:cs="Arial" w:eastAsia="Arial" w:hAnsi="Arial"/>
                <w:sz w:val="17"/>
                <w:szCs w:val="17"/>
                <w:color w:val="0000FF"/>
              </w:rPr>
              <w:t>12/08/2022</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ROYAL GROUP BUILDING</w:t>
            </w: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vMerge w:val="restart"/>
          </w:tcPr>
          <w:p>
            <w:pPr>
              <w:ind w:left="600"/>
              <w:spacing w:after="0"/>
              <w:rPr>
                <w:sz w:val="20"/>
                <w:szCs w:val="20"/>
                <w:color w:val="auto"/>
              </w:rPr>
            </w:pPr>
            <w:r>
              <w:rPr>
                <w:rFonts w:ascii="Arial" w:cs="Arial" w:eastAsia="Arial" w:hAnsi="Arial"/>
                <w:sz w:val="17"/>
                <w:szCs w:val="17"/>
                <w:color w:val="0000FF"/>
              </w:rPr>
              <w:t>U0</w:t>
            </w:r>
          </w:p>
        </w:tc>
        <w:tc>
          <w:tcPr>
            <w:tcW w:w="840" w:type="dxa"/>
            <w:vAlign w:val="bottom"/>
          </w:tcPr>
          <w:p>
            <w:pPr>
              <w:spacing w:after="0"/>
              <w:rPr>
                <w:sz w:val="20"/>
                <w:szCs w:val="20"/>
                <w:color w:val="auto"/>
              </w:rPr>
            </w:pPr>
          </w:p>
        </w:tc>
        <w:tc>
          <w:tcPr>
            <w:tcW w:w="920" w:type="dxa"/>
            <w:vAlign w:val="bottom"/>
            <w:vMerge w:val="restart"/>
          </w:tcPr>
          <w:p>
            <w:pPr>
              <w:ind w:left="140"/>
              <w:spacing w:after="0"/>
              <w:rPr>
                <w:sz w:val="20"/>
                <w:szCs w:val="20"/>
                <w:color w:val="auto"/>
              </w:rPr>
            </w:pPr>
            <w:r>
              <w:rPr>
                <w:rFonts w:ascii="Arial" w:cs="Arial" w:eastAsia="Arial" w:hAnsi="Arial"/>
                <w:sz w:val="17"/>
                <w:szCs w:val="17"/>
                <w:color w:val="0000FF"/>
              </w:rPr>
              <w:t>048693</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6"/>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6"/>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6"/>
          </w:tcPr>
          <w:p>
            <w:pPr>
              <w:ind w:left="800"/>
              <w:spacing w:after="0"/>
              <w:rPr>
                <w:sz w:val="20"/>
                <w:szCs w:val="20"/>
                <w:color w:val="auto"/>
              </w:rPr>
            </w:pPr>
            <w:r>
              <w:rPr>
                <w:rFonts w:ascii="Arial" w:cs="Arial" w:eastAsia="Arial" w:hAnsi="Arial"/>
                <w:sz w:val="17"/>
                <w:szCs w:val="17"/>
                <w:color w:val="0000FF"/>
              </w:rPr>
              <w:t>12/08/2022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109,968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46.08</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8,118,804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per share prices ranging from $46.00 to $46.24. The reporting person undertakes to provide upon request to the SEC staff, the Issuer, or any stockholder of the Issuer, full information regarding the number of shares sold at each separate price within the range set forth in this footnote.</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Brett Blundy, Managing</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12/12/2022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Director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0869"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2022-12-12T15:39:20Z</dcterms:created>
  <dcterms:modified xsi:type="dcterms:W3CDTF">2022-12-12T15:39:20Z</dcterms:modified>
</cp:coreProperties>
</file>