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$0.01 par value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926400102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September 8,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2" w:lineRule="exact"/>
        <w:rPr>
          <w:sz w:val="24"/>
          <w:szCs w:val="24"/>
          <w:color w:val="auto"/>
        </w:rPr>
      </w:pPr>
    </w:p>
    <w:p>
      <w:pPr>
        <w:jc w:val="both"/>
        <w:ind w:left="660" w:right="9200" w:hanging="4"/>
        <w:spacing w:after="0" w:line="226" w:lineRule="exact"/>
        <w:tabs>
          <w:tab w:leader="none" w:pos="98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2" w:lineRule="exact"/>
        <w:rPr>
          <w:rFonts w:ascii="MS PGothic" w:cs="MS PGothic" w:eastAsia="MS PGothic" w:hAnsi="MS PGothic"/>
          <w:sz w:val="18"/>
          <w:szCs w:val="18"/>
          <w:color w:val="auto"/>
        </w:rPr>
      </w:pPr>
    </w:p>
    <w:p>
      <w:pPr>
        <w:ind w:left="340" w:right="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9"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SCHEDULE 13G</w:t>
            </w: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926400102</w:t>
            </w:r>
          </w:p>
        </w:tc>
        <w:tc>
          <w:tcPr>
            <w:tcW w:w="500" w:type="dxa"/>
            <w:vAlign w:val="bottom"/>
          </w:tcPr>
          <w:p>
            <w:pPr>
              <w:spacing w:after="0"/>
              <w:rPr>
                <w:sz w:val="20"/>
                <w:szCs w:val="20"/>
                <w:color w:val="auto"/>
              </w:rPr>
            </w:pPr>
          </w:p>
        </w:tc>
        <w:tc>
          <w:tcPr>
            <w:tcW w:w="8640" w:type="dxa"/>
            <w:vAlign w:val="bottom"/>
            <w:gridSpan w:val="2"/>
          </w:tcPr>
          <w:p>
            <w:pPr>
              <w:ind w:left="7820"/>
              <w:spacing w:after="0"/>
              <w:rPr>
                <w:sz w:val="20"/>
                <w:szCs w:val="20"/>
                <w:color w:val="auto"/>
              </w:rPr>
            </w:pPr>
            <w:r>
              <w:rPr>
                <w:rFonts w:ascii="Times New Roman" w:cs="Times New Roman" w:eastAsia="Times New Roman" w:hAnsi="Times New Roman"/>
                <w:sz w:val="18"/>
                <w:szCs w:val="18"/>
                <w:color w:val="auto"/>
                <w:w w:val="95"/>
              </w:rPr>
              <w:t>Page 2 of 5</w:t>
            </w:r>
          </w:p>
        </w:tc>
        <w:tc>
          <w:tcPr>
            <w:tcW w:w="0" w:type="dxa"/>
            <w:vAlign w:val="bottom"/>
          </w:tcPr>
          <w:p>
            <w:pPr>
              <w:spacing w:after="0"/>
              <w:rPr>
                <w:sz w:val="1"/>
                <w:szCs w:val="1"/>
                <w:color w:val="auto"/>
              </w:rPr>
            </w:pPr>
          </w:p>
        </w:tc>
      </w:tr>
      <w:tr>
        <w:trPr>
          <w:trHeight w:val="243"/>
        </w:trPr>
        <w:tc>
          <w:tcPr>
            <w:tcW w:w="1260" w:type="dxa"/>
            <w:vAlign w:val="bottom"/>
            <w:tcBorders>
              <w:bottom w:val="single" w:sz="8" w:color="auto"/>
            </w:tcBorders>
          </w:tcPr>
          <w:p>
            <w:pPr>
              <w:spacing w:after="0"/>
              <w:rPr>
                <w:sz w:val="21"/>
                <w:szCs w:val="21"/>
                <w:color w:val="auto"/>
              </w:rPr>
            </w:pPr>
          </w:p>
        </w:tc>
        <w:tc>
          <w:tcPr>
            <w:tcW w:w="99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BBRC International Pte Ltd</w:t>
            </w: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98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b w:val="1"/>
                <w:bCs w:val="1"/>
                <w:color w:val="auto"/>
              </w:rPr>
              <w:t>(a)</w:t>
            </w:r>
            <w:r>
              <w:rPr>
                <w:rFonts w:ascii="MS PGothic" w:cs="MS PGothic" w:eastAsia="MS PGothic" w:hAnsi="MS PGothic"/>
                <w:sz w:val="18"/>
                <w:szCs w:val="18"/>
                <w:color w:val="auto"/>
                <w:highlight w:val="black"/>
              </w:rPr>
              <w:t>☐</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b w:val="1"/>
                <w:bCs w:val="1"/>
                <w:color w:val="auto"/>
              </w:rPr>
              <w:t>(b)</w:t>
            </w:r>
            <w:r>
              <w:rPr>
                <w:rFonts w:ascii="MS PGothic" w:cs="MS PGothic" w:eastAsia="MS PGothic" w:hAnsi="MS PGothic"/>
                <w:sz w:val="18"/>
                <w:szCs w:val="18"/>
                <w:color w:val="auto"/>
                <w:highlight w:val="black"/>
              </w:rPr>
              <w:t>☐</w:t>
            </w:r>
          </w:p>
        </w:tc>
        <w:tc>
          <w:tcPr>
            <w:tcW w:w="5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2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2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6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8,228,772</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6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80" w:type="dxa"/>
            <w:vAlign w:val="bottom"/>
          </w:tcPr>
          <w:p>
            <w:pPr>
              <w:spacing w:after="0"/>
              <w:rPr>
                <w:sz w:val="17"/>
                <w:szCs w:val="17"/>
                <w:color w:val="auto"/>
              </w:rPr>
            </w:pPr>
          </w:p>
        </w:tc>
        <w:tc>
          <w:tcPr>
            <w:tcW w:w="50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80" w:type="dxa"/>
            <w:vAlign w:val="bottom"/>
          </w:tcPr>
          <w:p>
            <w:pPr>
              <w:spacing w:after="0"/>
              <w:rPr>
                <w:sz w:val="17"/>
                <w:szCs w:val="17"/>
                <w:color w:val="auto"/>
              </w:rPr>
            </w:pPr>
          </w:p>
        </w:tc>
        <w:tc>
          <w:tcPr>
            <w:tcW w:w="50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6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8,228,772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6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8,228,772</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12"/>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6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6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9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40" w:firstLine="8"/>
        <w:spacing w:after="0" w:line="244"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 calculated based on 81,245,512 shares of common stock outstanding as of September 2, 2022, as reported in the Issuer’s Form 10-Q for the period ended July 30, 2022, filed by the Issuer with the Securities and Exchange Commission on September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926400102</w:t>
      </w:r>
      <w:r>
        <w:rPr>
          <w:sz w:val="20"/>
          <w:szCs w:val="20"/>
          <w:color w:val="auto"/>
        </w:rPr>
        <w:tab/>
      </w:r>
      <w:r>
        <w:rPr>
          <w:rFonts w:ascii="Times New Roman" w:cs="Times New Roman" w:eastAsia="Times New Roman" w:hAnsi="Times New Roman"/>
          <w:sz w:val="18"/>
          <w:szCs w:val="18"/>
          <w:color w:val="auto"/>
        </w:rPr>
        <w:t>Page 3 of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2"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3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 Limited Parkway East, Reynoldsburg, OH 43068.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38"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Phillip Street #11-01, Royal Group Building, Singapore 048693</w:t>
      </w:r>
    </w:p>
    <w:p>
      <w:pPr>
        <w:spacing w:after="0" w:line="238"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Singapore</w:t>
      </w:r>
    </w:p>
    <w:p>
      <w:pPr>
        <w:spacing w:after="0" w:line="23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38"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926400102</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See Row 9 of the cover page</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See Row 11 of the cover page</w:t>
      </w:r>
    </w:p>
    <w:p>
      <w:pPr>
        <w:spacing w:after="0" w:line="242" w:lineRule="exact"/>
        <w:rPr>
          <w:sz w:val="20"/>
          <w:szCs w:val="20"/>
          <w:color w:val="auto"/>
        </w:rPr>
      </w:pPr>
    </w:p>
    <w:p>
      <w:pPr>
        <w:ind w:left="1620" w:hanging="316"/>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4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See Row 5 of the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SCHEDULE 13G</w:t>
            </w:r>
          </w:p>
        </w:tc>
      </w:tr>
      <w:tr>
        <w:trPr>
          <w:trHeight w:val="23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926400102</w:t>
            </w:r>
          </w:p>
        </w:tc>
        <w:tc>
          <w:tcPr>
            <w:tcW w:w="9160" w:type="dxa"/>
            <w:vAlign w:val="bottom"/>
          </w:tcPr>
          <w:p>
            <w:pPr>
              <w:ind w:left="8340"/>
              <w:spacing w:after="0"/>
              <w:rPr>
                <w:sz w:val="20"/>
                <w:szCs w:val="20"/>
                <w:color w:val="auto"/>
              </w:rPr>
            </w:pPr>
            <w:r>
              <w:rPr>
                <w:rFonts w:ascii="Times New Roman" w:cs="Times New Roman" w:eastAsia="Times New Roman" w:hAnsi="Times New Roman"/>
                <w:sz w:val="18"/>
                <w:szCs w:val="18"/>
                <w:color w:val="auto"/>
                <w:w w:val="98"/>
              </w:rPr>
              <w:t>Page 4 of 5</w:t>
            </w:r>
          </w:p>
        </w:tc>
      </w:tr>
      <w:tr>
        <w:trPr>
          <w:trHeight w:val="459"/>
        </w:trPr>
        <w:tc>
          <w:tcPr>
            <w:tcW w:w="98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(ii)</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r>
      <w:tr>
        <w:trPr>
          <w:trHeight w:val="498"/>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See Row 6 of the cover page</w:t>
            </w:r>
          </w:p>
        </w:tc>
      </w:tr>
      <w:tr>
        <w:trPr>
          <w:trHeight w:val="447"/>
        </w:trPr>
        <w:tc>
          <w:tcPr>
            <w:tcW w:w="98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(iii)</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r>
      <w:tr>
        <w:trPr>
          <w:trHeight w:val="498"/>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See Row 7 of the cover page</w:t>
            </w:r>
          </w:p>
        </w:tc>
      </w:tr>
      <w:tr>
        <w:trPr>
          <w:trHeight w:val="447"/>
        </w:trPr>
        <w:tc>
          <w:tcPr>
            <w:tcW w:w="98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(iv)</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r>
      <w:tr>
        <w:trPr>
          <w:trHeight w:val="498"/>
        </w:trPr>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See Row 8 of the cover page</w:t>
            </w:r>
          </w:p>
        </w:tc>
      </w:tr>
      <w:tr>
        <w:trPr>
          <w:trHeight w:val="447"/>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9"/>
              </w:rPr>
              <w:t>BBRC International Pte Ltd (“BBRC”) serves as the trustee for The BB Family International Trust (the “Trust”),</w:t>
            </w:r>
          </w:p>
        </w:tc>
      </w:tr>
      <w:tr>
        <w:trPr>
          <w:trHeight w:val="243"/>
        </w:trPr>
        <w:tc>
          <w:tcPr>
            <w:tcW w:w="980" w:type="dxa"/>
            <w:vAlign w:val="bottom"/>
          </w:tcPr>
          <w:p>
            <w:pPr>
              <w:spacing w:after="0"/>
              <w:rPr>
                <w:sz w:val="21"/>
                <w:szCs w:val="21"/>
                <w:color w:val="auto"/>
              </w:rPr>
            </w:pPr>
          </w:p>
        </w:tc>
        <w:tc>
          <w:tcPr>
            <w:tcW w:w="1026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22"/>
                <w:szCs w:val="22"/>
                <w:color w:val="auto"/>
                <w:w w:val="98"/>
              </w:rPr>
              <w:t>which holds the shares reported herein. Brett Blundy, as Managing Director of BBRC and beneficiary of the Trust,</w:t>
            </w:r>
          </w:p>
        </w:tc>
      </w:tr>
      <w:tr>
        <w:trPr>
          <w:trHeight w:val="243"/>
        </w:trPr>
        <w:tc>
          <w:tcPr>
            <w:tcW w:w="980" w:type="dxa"/>
            <w:vAlign w:val="bottom"/>
          </w:tcPr>
          <w:p>
            <w:pPr>
              <w:spacing w:after="0"/>
              <w:rPr>
                <w:sz w:val="21"/>
                <w:szCs w:val="21"/>
                <w:color w:val="auto"/>
              </w:rPr>
            </w:pPr>
          </w:p>
        </w:tc>
        <w:tc>
          <w:tcPr>
            <w:tcW w:w="1026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may be deemed to have beneficial ownership of the shares. The Trust is organized under the laws of Singapore and</w:t>
            </w:r>
          </w:p>
        </w:tc>
      </w:tr>
      <w:tr>
        <w:trPr>
          <w:trHeight w:val="28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Mr. Blundy is a citizen of Australia. The address for the Trust and Mr. Blundy is set forth in Item 2(a) above.</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9"/>
              </w:rPr>
              <w:t>If this statement is being filed to report the fact that as of the date hereof the reporting person has ceased to be the</w:t>
            </w:r>
          </w:p>
        </w:tc>
      </w:tr>
      <w:tr>
        <w:trPr>
          <w:trHeight w:val="338"/>
        </w:trPr>
        <w:tc>
          <w:tcPr>
            <w:tcW w:w="980" w:type="dxa"/>
            <w:vAlign w:val="bottom"/>
          </w:tcPr>
          <w:p>
            <w:pPr>
              <w:spacing w:after="0"/>
              <w:rPr>
                <w:sz w:val="24"/>
                <w:szCs w:val="24"/>
                <w:color w:val="auto"/>
              </w:rPr>
            </w:pPr>
          </w:p>
        </w:tc>
        <w:tc>
          <w:tcPr>
            <w:tcW w:w="10260" w:type="dxa"/>
            <w:vAlign w:val="bottom"/>
            <w:gridSpan w:val="2"/>
          </w:tcPr>
          <w:p>
            <w:pPr>
              <w:ind w:left="320"/>
              <w:spacing w:after="0" w:line="253" w:lineRule="exact"/>
              <w:rPr>
                <w:sz w:val="20"/>
                <w:szCs w:val="20"/>
                <w:color w:val="auto"/>
              </w:rPr>
            </w:pPr>
            <w:r>
              <w:rPr>
                <w:rFonts w:ascii="Times New Roman" w:cs="Times New Roman" w:eastAsia="Times New Roman" w:hAnsi="Times New Roman"/>
                <w:sz w:val="22"/>
                <w:szCs w:val="22"/>
                <w:color w:val="auto"/>
              </w:rPr>
              <w:t xml:space="preserve">beneficial owner of more than 5 percent of the class of securities, check the following </w:t>
            </w:r>
            <w:r>
              <w:rPr>
                <w:rFonts w:ascii="MS PGothic" w:cs="MS PGothic" w:eastAsia="MS PGothic" w:hAnsi="MS PGothic"/>
                <w:sz w:val="22"/>
                <w:szCs w:val="22"/>
                <w:color w:val="auto"/>
              </w:rPr>
              <w:t>☐</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9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2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9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9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9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r>
    </w:tbl>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926400102</w:t>
      </w:r>
      <w:r>
        <w:rPr>
          <w:sz w:val="20"/>
          <w:szCs w:val="20"/>
          <w:color w:val="auto"/>
        </w:rPr>
        <w:tab/>
      </w:r>
      <w:r>
        <w:rPr>
          <w:rFonts w:ascii="Times New Roman" w:cs="Times New Roman" w:eastAsia="Times New Roman" w:hAnsi="Times New Roman"/>
          <w:sz w:val="18"/>
          <w:szCs w:val="18"/>
          <w:color w:val="auto"/>
        </w:rPr>
        <w:t>Page 5 of 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14, 2022</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BBRC International Pte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Brett Blundy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Brett Blundy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2022-09-14T15:20:03Z</dcterms:created>
  <dcterms:modified xsi:type="dcterms:W3CDTF">2022-09-14T15:20:03Z</dcterms:modified>
</cp:coreProperties>
</file>