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 (June 11, 2026)</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VSXY</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June 11, 2026, Victoria’s Secret &amp; Co. (the “Company”) held its 2026 annual meeting of stockholders (the “Annual Meeting”) by means of remote communication. At the Annual Meeting, the Company’s stockholders (i) elected nine directors to serve until the 2027 annual meeting of stockholders, (ii) approved, on an advisory basis, the compensation of the Company’s named executive officers, and (iii) ratified the appointment of Ernst &amp; Young LLP as the Company’s independent registered public accounting firm for fiscal year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with respect to each of the three proposals are set forth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To elect nine directors to serve until the 2027 annual meeting of stockholders.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Nominee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3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Against</w:t>
            </w:r>
          </w:p>
        </w:tc>
        <w:tc>
          <w:tcPr>
            <w:tcW w:w="19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Abstain</w:t>
            </w:r>
          </w:p>
        </w:tc>
        <w:tc>
          <w:tcPr>
            <w:tcW w:w="2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7"/>
        </w:trPr>
        <w:tc>
          <w:tcPr>
            <w:tcW w:w="2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Irene Chang Britt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53,480,291</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12,280,118</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43,133</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Davis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53,673,438</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12,073,656</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56,448</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Hernández</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53,655,064</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12,093,840</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54,638</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Donna James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54,925,752</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10,800,993</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76,797</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 Little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53,666,926</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12,070,609</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66,007</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McCreight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55,339,716</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10,414,746</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49,080</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Peters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53,622,036</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12,132,154</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49,352</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Sheehan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53,665,445</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12,093,043</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45,054</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r>
        <w:trPr>
          <w:trHeight w:val="27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Hillary Super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64,009,383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1,756,492</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37,667</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1,156,636</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To approve, on an advisory basis, the compensation of the Company’s named executive officers.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28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54,394,913</w:t>
            </w:r>
          </w:p>
        </w:tc>
        <w:tc>
          <w:tcPr>
            <w:tcW w:w="28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11,238,067</w:t>
            </w:r>
          </w:p>
        </w:tc>
        <w:tc>
          <w:tcPr>
            <w:tcW w:w="25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170,768</w:t>
            </w:r>
          </w:p>
        </w:tc>
        <w:tc>
          <w:tcPr>
            <w:tcW w:w="29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1,156,430</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To ratify the appointment of Ernst &amp; Young LLP as the Company’s independent registered public accounting firm for fiscal year 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2"/>
          </w:tcPr>
          <w:p>
            <w:pPr>
              <w:jc w:val="center"/>
              <w:ind w:right="2030"/>
              <w:spacing w:after="0"/>
              <w:rPr>
                <w:sz w:val="20"/>
                <w:szCs w:val="20"/>
                <w:color w:val="auto"/>
              </w:rPr>
            </w:pPr>
            <w:r>
              <w:rPr>
                <w:rFonts w:ascii="Times New Roman" w:cs="Times New Roman" w:eastAsia="Times New Roman" w:hAnsi="Times New Roman"/>
                <w:sz w:val="18"/>
                <w:szCs w:val="18"/>
                <w:color w:val="auto"/>
                <w:w w:val="95"/>
              </w:rPr>
              <w:t>For</w:t>
            </w:r>
          </w:p>
        </w:tc>
        <w:tc>
          <w:tcPr>
            <w:tcW w:w="14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Against</w:t>
            </w:r>
          </w:p>
        </w:tc>
        <w:tc>
          <w:tcPr>
            <w:tcW w:w="30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Abstain</w:t>
            </w:r>
          </w:p>
        </w:tc>
        <w:tc>
          <w:tcPr>
            <w:tcW w:w="3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7"/>
        </w:trPr>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2800" w:type="dxa"/>
            <w:vAlign w:val="bottom"/>
            <w:gridSpan w:val="3"/>
          </w:tcPr>
          <w:p>
            <w:pPr>
              <w:jc w:val="right"/>
              <w:ind w:right="1790"/>
              <w:spacing w:after="0"/>
              <w:rPr>
                <w:sz w:val="20"/>
                <w:szCs w:val="20"/>
                <w:color w:val="auto"/>
              </w:rPr>
            </w:pPr>
            <w:r>
              <w:rPr>
                <w:rFonts w:ascii="Times New Roman" w:cs="Times New Roman" w:eastAsia="Times New Roman" w:hAnsi="Times New Roman"/>
                <w:sz w:val="18"/>
                <w:szCs w:val="18"/>
                <w:color w:val="auto"/>
              </w:rPr>
              <w:t>66,826,966</w:t>
            </w:r>
          </w:p>
        </w:tc>
        <w:tc>
          <w:tcPr>
            <w:tcW w:w="14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80,677</w:t>
            </w:r>
          </w:p>
        </w:tc>
        <w:tc>
          <w:tcPr>
            <w:tcW w:w="30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52,535</w:t>
            </w:r>
          </w:p>
        </w:tc>
        <w:tc>
          <w:tcPr>
            <w:tcW w:w="3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513"/>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680" w:type="dxa"/>
            <w:vAlign w:val="bottom"/>
            <w:gridSpan w:val="4"/>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480" w:type="dxa"/>
            <w:vAlign w:val="bottom"/>
          </w:tcPr>
          <w:p>
            <w:pPr>
              <w:spacing w:after="0"/>
              <w:rPr>
                <w:sz w:val="24"/>
                <w:szCs w:val="24"/>
                <w:color w:val="auto"/>
              </w:rPr>
            </w:pPr>
          </w:p>
        </w:tc>
        <w:tc>
          <w:tcPr>
            <w:tcW w:w="3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2000"/>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and Operating Officer</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2026-06-15T15:21:28Z</dcterms:created>
  <dcterms:modified xsi:type="dcterms:W3CDTF">2026-06-15T15:21:28Z</dcterms:modified>
</cp:coreProperties>
</file>