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80" w:right="6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723"/>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8"/>
        </w:trPr>
        <w:tc>
          <w:tcPr>
            <w:tcW w:w="4980" w:type="dxa"/>
            <w:vAlign w:val="bottom"/>
            <w:gridSpan w:val="3"/>
          </w:tcPr>
          <w:p>
            <w:pPr>
              <w:jc w:val="center"/>
              <w:ind w:right="25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vMerge w:val="restart"/>
          </w:tcPr>
          <w:p>
            <w:pPr>
              <w:jc w:val="center"/>
              <w:ind w:right="683"/>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923"/>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jc w:val="center"/>
              <w:ind w:right="663"/>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60" w:type="dxa"/>
            <w:vAlign w:val="bottom"/>
          </w:tcPr>
          <w:p>
            <w:pPr>
              <w:jc w:val="right"/>
              <w:ind w:right="1264"/>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60" w:type="dxa"/>
            <w:vAlign w:val="bottom"/>
          </w:tcPr>
          <w:p>
            <w:pPr>
              <w:jc w:val="center"/>
              <w:ind w:right="1124"/>
              <w:spacing w:after="0"/>
              <w:rPr>
                <w:sz w:val="20"/>
                <w:szCs w:val="20"/>
                <w:color w:val="auto"/>
              </w:rPr>
            </w:pPr>
            <w:r>
              <w:rPr>
                <w:rFonts w:ascii="Times New Roman" w:cs="Times New Roman" w:eastAsia="Times New Roman" w:hAnsi="Times New Roman"/>
                <w:sz w:val="14"/>
                <w:szCs w:val="14"/>
                <w:color w:val="auto"/>
              </w:rPr>
              <w:t>VSCO</w:t>
            </w: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r>
        <w:trPr>
          <w:trHeight w:val="193"/>
        </w:trPr>
        <w:tc>
          <w:tcPr>
            <w:tcW w:w="4980" w:type="dxa"/>
            <w:vAlign w:val="bottom"/>
            <w:gridSpan w:val="3"/>
          </w:tcPr>
          <w:p>
            <w:pPr>
              <w:jc w:val="center"/>
              <w:ind w:right="120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color w:val="auto"/>
                <w:w w:val="99"/>
              </w:rPr>
              <w:t>N/A</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30"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44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June 6, 2025, the number of outstanding shares of the Registrant’s common stock was 79,852,504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4"/>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Loss for the Thirteen-Weeks Ended May 3, 2025 and May 4,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Thirteen-Weeks Ended May 3, 2025 and May 4, 2024</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0000FF"/>
            </w:tcBorders>
            <w:gridSpan w:val="5"/>
          </w:tcPr>
          <w:p>
            <w:pPr>
              <w:ind w:left="20"/>
              <w:spacing w:after="0" w:line="136" w:lineRule="exact"/>
              <w:rPr>
                <w:sz w:val="20"/>
                <w:szCs w:val="20"/>
                <w:color w:val="auto"/>
              </w:rPr>
            </w:pPr>
            <w:r>
              <w:rPr>
                <w:rFonts w:ascii="Times New Roman" w:cs="Times New Roman" w:eastAsia="Times New Roman" w:hAnsi="Times New Roman"/>
                <w:sz w:val="15"/>
                <w:szCs w:val="15"/>
                <w:color w:val="0000FF"/>
              </w:rPr>
              <w:t>(Unaudited)</w:t>
            </w:r>
          </w:p>
        </w:tc>
        <w:tc>
          <w:tcPr>
            <w:tcW w:w="2860" w:type="dxa"/>
            <w:vAlign w:val="bottom"/>
            <w:tcBorders>
              <w:top w:val="single" w:sz="8" w:color="0000FF"/>
            </w:tcBorders>
            <w:gridSpan w:val="7"/>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gridSpan w:val="2"/>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May 3, 2025 (Unaudited), February 1, 2025 and May 4,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Ended May 3, 2025 and May 4,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Thirteen-Weeks Ended May 3, 2025 and May 4,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4140" w:type="dxa"/>
            <w:vAlign w:val="bottom"/>
            <w:gridSpan w:val="7"/>
          </w:tcPr>
          <w:p>
            <w:pPr>
              <w:spacing w:after="0"/>
              <w:rPr>
                <w:sz w:val="22"/>
                <w:szCs w:val="22"/>
                <w:color w:val="auto"/>
              </w:rPr>
            </w:pPr>
          </w:p>
        </w:tc>
        <w:tc>
          <w:tcPr>
            <w:tcW w:w="1280" w:type="dxa"/>
            <w:vAlign w:val="bottom"/>
            <w:gridSpan w:val="2"/>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32</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3"/>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3"/>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1"/>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120" w:hanging="434"/>
        <w:spacing w:after="0" w:line="22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“first quarter of 2025” and “first quarter of 2024” refer to the thirteen-week periods ended May 3, 2025 and May 4, 2024, respectively, and “fiscal year 2025” and “fiscal year 2024” refer to the fifty-two-week period ending January 31, 2026 and the fifty-two-week period ended February 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9060" w:type="dxa"/>
            <w:vAlign w:val="bottom"/>
            <w:vMerge w:val="restart"/>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9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9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May 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80, 79, and 78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3,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4,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870 stores in the United States (“U.S.”), Canada and China as well as its own websites, www.VictoriasSecret.com, www.PINK.com, www.AdoreMe.com and www.DailyLook.com, and other digital channels worldwide. Additionally, the Company has approximately 510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through a network of stores and digital channels.</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first quarter of 2025 and the third quarter of 2024, the Company made certain executive leadership changes to restructure its executive leadership team. For additional information, see Note 4, “Restructuring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“first quarter of 2025” and “first quarter of 2024” refer to the thirteen-week periods ended May 3, 2025 and May 4, 2024, respectively, and “fiscal year 2025” and “fiscal year 2024” refer to the fifty-two-week period ending January 31, 2026 and the fifty-two-week period ended February 1,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 All significant intercompany balances and transactions have been eliminated in consolidation. The Company has a joint venture to operate Victoria’s Secret stores and the related online business in China. The Company owns 51% and has control over the joint venture, thus, the joint venture’s assets, liabilities and results of operations are consolidated in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May 3, 2025 and May 4, 2024 are unaudited. These Consolidated Financial Statements should be read in conjunction with the audited Consolidated Financial Statements and Notes thereto included in our Annual Report on Form 10-K filed with the Securities and Exchange Commission (“SEC”) on March 21, 2025.</w:t>
      </w:r>
    </w:p>
    <w:p>
      <w:pPr>
        <w:spacing w:after="0" w:line="4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period ended May 3, 2025 are not necessarily indicative of the results expected for any other interim period or the full fiscal year ending January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Loss, and the Company’s share of net income or loss from all other unconsolidated entities is included in General, Administrative and Store Operating Expenses in the Consolidated Statements of Loss. The Company’s equity method investments are required to be reviewed for impairment when it is determined there may be an other-than-temporary loss in value.</w:t>
      </w:r>
    </w:p>
    <w:p>
      <w:pPr>
        <w:spacing w:after="0" w:line="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$44 million as of May 3, 2025, $47 million as of February 1, 2025 and $60 million as of May 4, 2024.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Loss.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May 3, 2025, the Company’s investment portfolio was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$154 million as of May 3, 2025, $181 million as of February 1, 2025 and $117 million as of May 4,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first quarter of 2025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improve expense disclosures, 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The Company does not expect this standard to have a material impact on its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Additionally, under the terms of the Merger Agreement, the Company agreed to pay further cash consideration in an aggregate amount of at least $80 million and up to $300 million, which included a minimum fixed payment along with consideration for potential additional payments based on the achievement of specified strategic objectives and EBITDA and net revenue goals within the two-year period following closing of the transaction.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2024, the Company made payments totaling $200 million, which included a fixed payment of $100 million and payments totaling</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 million relating to the achievement of specified strategic objectives under the terms of the Merger Agreement. During the first quarter of 2024, the Company made $20 million of these payments, comprised of $16 million classified as financing cash outflows and $4 million classified as operating cash outflows in the Consolidated Statement of Cash Flows. The amount classified as operating cash outflows was subject to the continued employment of a certain Adore Me employee (“Contingent Compensation Payments”) and was recognized as compensation expense within General, Administrative and Store Operating Expenses in the Consolidated Statements of Income as it was earned.</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May 3, 2025, management believes no further payment is required based on its calculation of Adore Me’s EBITDA and net revenue results compared to specified targets applicable to the two-year period following the close of the transaction as set forth in the Merger Agreement. The Company submitted, under the terms of the Merger Agreement, its calculation of the contingent payment owed of zero dollars on March 3, 2025 and representatives of the former Adore Me shareholders submitted their calculation of the contingent payment owed of $11 million on April 2, 2025. According to the terms of the Merger Agreement, the calculations will be presented to a neutral accountant for a final determination.</w:t>
      </w:r>
    </w:p>
    <w:p>
      <w:pPr>
        <w:spacing w:after="0" w:line="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first quarter of 2025 and 2024, the Company recognized the financial impact of purchase accounting items, including recognition of changes in the estimated fair value of contingent consideration and Contingent Compensation Payments and amortization of acquired intangible assets.</w:t>
      </w:r>
    </w:p>
    <w:p>
      <w:pPr>
        <w:spacing w:after="0" w:line="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Loss of the financial impact of purchase accounting items for the first quarter of 2025 and 2024:</w:t>
      </w:r>
    </w:p>
    <w:p>
      <w:pPr>
        <w:spacing w:after="0" w:line="7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94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r>
      <w:tr>
        <w:trPr>
          <w:trHeight w:val="229"/>
        </w:trPr>
        <w:tc>
          <w:tcPr>
            <w:tcW w:w="8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$120 million as of May 3, 2025, $112 million as of February 1, 2025 and $113 million as of May 4, 2024.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$254 million as of May 3, 2025, $269 million as of February 1, 2025 and $298 million as of May 4, 2024. The Company recognized $59 million as revenue in the first quarter of 2025 from amounts recorded as deferred revenue at the beginning of the year. As of May 3, 2025, the Company recorded deferred revenue of $241 million within Accrued Expenses and Other, and $13 million within Other Long-term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first quarter of 2025 and 2024:</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2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63"/>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r>
      <w:tr>
        <w:trPr>
          <w:trHeight w:val="20"/>
        </w:trPr>
        <w:tc>
          <w:tcPr>
            <w:tcW w:w="8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 party is primarily recognized based on credit card sales and usage.</w:t>
      </w:r>
    </w:p>
    <w:p>
      <w:pPr>
        <w:spacing w:after="0" w:line="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$17 million in both the first quarter of 2025 and 2024 related to revenue earned in connection with its credit card arrangements.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announced a series of strategic leadership appointments designed to accelerate growth across its portfolio of brands, including the appointment of three Brand Presidents and an Executive Creative Director. The Company also eliminated the Chief Design Officer role. The Company incurred severance, relocation and other expenses related to these activities in the first quarter of 2025.</w:t>
      </w:r>
    </w:p>
    <w:p>
      <w:pPr>
        <w:spacing w:after="0" w:line="4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appointments and changes to restructure its executive leadership team, including the appointment of a new Chief Executive Officer (“CEO”) of the Company, the termination of the previous CEO and the elimination of two executive officer roles. The Company incurred severance, relocation and other expenses related to these activities in the third quarter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loss per basic share is computed based on the weighted-average number of common shares outstanding during the period. Net loss per diluted share includes the weighted-average effect of dilutive restricted stock units, performance share units and options (collectively, “Dilutive Awards”) on the weighted-average shares outstanding.</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net loss per share for the first quarter of 2025 and 2024:</w:t>
      </w:r>
    </w:p>
    <w:p>
      <w:pPr>
        <w:spacing w:after="0" w:line="6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32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net loss per diluted share because their inclusion would have been anti-dilutive.</w:t>
      </w:r>
    </w:p>
    <w:p>
      <w:pPr>
        <w:ind w:left="660" w:right="30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2025 and 2024, shares underlying outstanding restricted stock units, performance share units and options were excluded from dilutive shares as a result of the Company’s net loss for those periods.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2024, the Board of Directors of the Company (the “Board”)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not repurchased any shares of its common stock under the March 2024 Share Repurchase Program. As of May 3, 2025, the Company was authorized to repurchase up to $250 million of the Company’s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May 3, 2025, February 1, 2025 and May 4,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May 3, 2025, February 1, 2025 and May 4,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was $55 million and $59 million for the first quarter of 2025 and 2024, respectively. Amortization expense for intangible assets was $6 million for both the first quarter of 2025 and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May 3, 2025,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Duty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Payment Related to Adore Me Acquisition</w:t>
            </w:r>
          </w:p>
        </w:tc>
        <w:tc>
          <w:tcPr>
            <w:tcW w:w="10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first quarter of 2025, the Company’s effective tax rate was 50.9% compared to 151.1% in the first quarter of 2024. The difference between the Company’s effective tax rate for both years and the combined estimated federal and state statutory rate was primarily due to additional tax expense from share-based compensation awards that vested in the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in the amount of $5 million and $6 million for the first quarter of 2025 and 2024,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May 3, 2025, February 1, 2025 and May 4,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$386 million Term Loan due August 2028 (“Term Loan Facility”)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$8 million and $12 million for the first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$1 million during both the first quarter of 2025 and 2024.</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May 3, 2025, the interest rate on the loans under the Term Loan Facility was 7.81%.</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The ABL Facility allows for borrowings and letters of credit in U.S. dollars or Canadian dollars and has aggregate commitments of $750 million and, as of May 3, 2025, an expiration date of August 2026.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million. Prior to the amendment of the ABL Facility as described below, interest on the loans under the ABL Facility was calculated by reference to</w:t>
      </w:r>
    </w:p>
    <w:p>
      <w:pPr>
        <w:spacing w:after="0" w:line="9" w:lineRule="exact"/>
        <w:rPr>
          <w:sz w:val="20"/>
          <w:szCs w:val="20"/>
          <w:color w:val="auto"/>
        </w:rPr>
      </w:pPr>
    </w:p>
    <w:p>
      <w:pPr>
        <w:ind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or an alternative base rate and (ii) in the case of loans denominated in Canadian dollars, the Canadian Dollar Offered Rate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borrowed $160 million and $90 million from the ABL Facility during the first quarter of 2025 and 2024, respectively, and made repayments of $55 million and $90 million under the ABL Facility during the first quarter of 2025 and 2024, respectively. As of May 3, 2025, there were borrowings of $105 million outstanding under the ABL Facility and the interest rate on the borrowings was 5.89%. The Company had $17 million of outstanding letters of credit as of May 3, 2025 that further reduced its availability under the ABL Facility. As of May 3, 2025, the Company’s remaining availability under the ABL Facility was $509 million.</w:t>
      </w:r>
    </w:p>
    <w:p>
      <w:pPr>
        <w:spacing w:after="0" w:line="3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On May 21, 2025, subsequent to the end of the first quarter of 2025, the Company amended its ABL Facility. The amendment, among other things, (1) extends the maturity date of the ABL Facility to the earlier of (a) five years after the closing date of the amendment and (b) the date that is 91 days prior to the scheduled maturity date of certain outstanding material indebtedness with a principal balance exceeding $50 million to the extent that certain availability and financial covenant thresholds are not met on such date, (2) provides for a seasonal increase of the advance rate of eligible inventory in the borrowing base from 90.0% of the net orderly liquidation value of eligible inventory to 92.5% for a period of three consecutive fiscal months each year during the Company’s high season, (3) reduces the availability threshold for triggering the delivery of certain reporting deliverables, cash dominion and certain payment conditions, (4) reduces the applicable interest rate on borrowings under the ABL Facility (a) in the case of loans bearing interest based on Term SOFR or Term Canadian Overnight Repo Rate Average (“Term CORRA”), to 1.50% to 1.75%, (b) in the case of alternate base rate loans and Canadian base rate loans, to 0.50% to 0.75% and (c) by removing the credit spread adjustment on SOFR-based borrowings and (5) replaces CDOR with Term CORRA with respect to Canadian borrowings.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amendment of the ABL Facility subsequent to the end of the first quarter of 2025 did not result in any changes to the financial covenants of the ABL Facility. The financial covenants could, within specific predefined circumstances, limit the Company’s ability to incur additional indebtedness, make certain investments, pay dividends or repurchase shares. As of May 3, 2025, the Company was in compliance with all covenants under its long-term debt and borrowing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4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May 3, 2025, February 1, 2025 and May 4,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9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800" w:type="dxa"/>
            <w:vAlign w:val="bottom"/>
          </w:tcPr>
          <w:p>
            <w:pPr>
              <w:spacing w:after="0"/>
              <w:rPr>
                <w:sz w:val="16"/>
                <w:szCs w:val="16"/>
                <w:color w:val="auto"/>
              </w:rPr>
            </w:pPr>
          </w:p>
        </w:tc>
        <w:tc>
          <w:tcPr>
            <w:tcW w:w="9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940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ind w:left="340" w:right="320" w:hanging="332"/>
        <w:spacing w:after="0" w:line="266"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May 3, 2025 based on the terms of the borrowings from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 February 1, 2025, May 4, 2024 and February 3, 2024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2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36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in the Consolidated Statements of Loss. For additional information regarding the contingent consideration, see Note 2, “Acquisition.”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the first quarter of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3,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the first quarter of 2024:</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8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8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8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4,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As of the end of the first quarter of 2025, the lawsuit has been settled, subject to court approval, and the Company is accrued for the settlement.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CEO, uses to evaluate performance and allocate resources. The Company has one reportable segment. The CODM assesses performance of the Company’s single reportable segment and decides how to allocate resources based on Net Loss Attributable to Victoria’s Secret &amp; Co. as reported on the Consolidated Statements of Loss.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the first quarter of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attributable to noncontrolling interest, interest income and other miscellaneous expense items.</w:t>
      </w:r>
    </w:p>
    <w:p>
      <w:pPr>
        <w:spacing w:after="0" w:line="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3, “Revenue Recognition.”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the first quarter of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 (b)</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27" w:lineRule="exact"/>
        <w:rPr>
          <w:rFonts w:ascii="Times New Roman" w:cs="Times New Roman" w:eastAsia="Times New Roman" w:hAnsi="Times New Roman"/>
          <w:sz w:val="18"/>
          <w:szCs w:val="18"/>
          <w:color w:val="auto"/>
        </w:rPr>
      </w:pPr>
    </w:p>
    <w:p>
      <w:pPr>
        <w:ind w:left="660" w:right="240" w:hanging="652"/>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from Company-operated stores outside of the U.S., royalty revenue from franchise and license arrangements, wholesale revenues and direct sales shipped internationally. Certain of these sales are subject to the impact of fluctuations in foreign currency.</w:t>
      </w:r>
    </w:p>
    <w:p>
      <w:pPr>
        <w:spacing w:after="0" w:line="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May 3, 2025, February 1, 2025 and May 4,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68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Item 1.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 Amendment</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21, 2025, subsequent to the end of the first quarter of 2025, the Company amended its ABL Facility. For additional information, see Note 10, “Long-term Debt and Borrowing Facilities.”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announced, on May 19, 2025, the Board approved the adoption of a limited-duration shareholder rights plan (“Rights Plan”) intended to protect the best interests of all Company shareholders. Pursuant to the Rights Plan, the Company issued one right for each share of common stock as of the close of business on May 29, 2025. The rights will initially trade with the Company's common stock and will generally become exercisable only if any person (or any persons acting as a group) acquires 15% (or 20% for certain passive investors) or more of the outstanding common stock (the “triggering percentage”). If the rights become exercisable, all holders of rights (other than any triggering person) will be entitled to acquire shares of common stock at a 50% discount or the Company may exchange each right held by such holders for one share of common stock. Under the Rights Plan, any person that owns more than the triggering percentage as of the adoption of the Rights Plan may continue to own its shares of common stock but may not acquire any additional shares without triggering the Rights Plan. The Rights Plan has a one-year term, expiring on May 18, 2026. The Board may consider an earlier termination of the Rights Plan as circumstances warrant.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restrictions and any retaliatory measures imposed by impacted exporting countries;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severe weather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 against cybersecurity incidents and disruptions or failures of systems;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 on March 21, 2025.</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 References to “we,” “us,” “our,” or the “Company” mean Victoria’s Secret &amp; Co. together with its subsidiaries.</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in assessing our performance.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 operates globally recognized brands that specialize in women’s intimate, apparel, personal care and beauty products:</w:t>
      </w:r>
    </w:p>
    <w:p>
      <w:pPr>
        <w:spacing w:after="0" w:line="8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world-leading lingerie brand with a rich heritage of serving women worldwide.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vibrant fashion and lifestyle brand designated for young women, built on a strong foundation in intimates.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technology-driven, digital first brand that offers innovative, inclusive intimates for women of all sizes, budgets and lifestyles.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Together, these brands are united by a commitment to supporting women—helping them express confidence, sexiness and strength while fostering connection and community.</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merchandise is available through our digital channels, in retail stores across the U.S., Canada and China, and through international stores, websites and mobile applications operated by partners under franchise, license, wholesale and joint venture arrangements. With a presence in nearly 70 countries, we benefit from strong global brand recognition, a compelling product assortment and a deep, lasting connection with our customers.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sales in the first quarter of 2025 were $1.353 billion or flat compared to the first quarter of 2024. In North America, net sales decreased 1% in the stores channel and 3% in the direct channel compared to the first quarter of 2024. In the stores channel, an increase in average unit retail (which we define as the average price per unit purchased) was offset by decreases in traffic and conversion (which we define as the percentage of customers who visit our stores and make a purchase) compared to the first quarter of 2024. In the direct channel, an increase in conversion (which we define as the percentage of customers who visit our digital sites and make a purchase) was offset by a decrease in traffic, while average unit retail remained flat compared to the first quarter of 2024. Net sales in our international channel increased 9% compared to the first quarter of 2024.</w:t>
      </w:r>
    </w:p>
    <w:p>
      <w:pPr>
        <w:spacing w:after="0" w:line="5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Operating income in the first quarter of 2025 decreased $6 million, to $20 million, compared to the first quarter of 2024 and our operating income rate (expressed as a percentage of net sales) was 1.5% compared to 1.9% in the first quarter of 2024. The decrease in operating income compared to the first quarter of 2024 was primarily driven by the decrease in merchandise margin dollars due to an increase in transportation costs, partially offset by the strategic shift in marketing spend from the first quarter to the second quarter.</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focus on our strategic priorities: 1) Recommit to PINK; 2) Supercharge Bras; 3) Fuel Growth in Lifestyle Categories; and 4) Evolve Our Brand Projection &amp; Go-To-Market Strategy. We are dedicated to continuous growth and operational excellence, focusing on execution of our strategic plan to drive long-term, sustainable value for our stockholders.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related to our first quarter of 2025 financial performance, see “Results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Macro Environment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face some near-term headwinds and ongoing uncertainty in the macro environment, which we will manage aggressively. At this time, the overall impact on our business related to the newly imposed U.S. tariffs on imports from other countries, as well as additional threatened tariffs and any retaliatory measures by impacted exporting countries remains uncertain and depends on multiple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Incident Involving Information Technology Systems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previously announced, on May 24, 2025, subsequent to the end of the first quarter, we detected a security incident involving our information technology systems. We immediately enacted our response protocols to contain and eradicate unauthorized network access, and third-party experts were engaged. All critical systems are restored and fully operational. We continue to assess the full scope and impact of the incident. This incident has not caused a material disruption to our operations to date and we do not believe it will have a material impact to our fiscal year 2025. The investigation remains ongoing and we have incurred, and may continue to incur, expenses and other financial impacts related to this incident, which could negatively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9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640" w:type="dxa"/>
            <w:vAlign w:val="bottom"/>
            <w:tcBorders>
              <w:bottom w:val="single" w:sz="8" w:color="CCEEFF"/>
            </w:tcBorders>
            <w:gridSpan w:val="5"/>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9"/>
        </w:trPr>
        <w:tc>
          <w:tcPr>
            <w:tcW w:w="964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Operating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auto"/>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Borders>
              <w:top w:val="single" w:sz="8" w:color="auto"/>
            </w:tcBorders>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Loss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auto"/>
            </w:tcBorders>
          </w:tcPr>
          <w:p>
            <w:pPr>
              <w:spacing w:after="0" w:line="20" w:lineRule="exact"/>
              <w:rPr>
                <w:sz w:val="1"/>
                <w:szCs w:val="1"/>
                <w:color w:val="auto"/>
              </w:rPr>
            </w:pPr>
          </w:p>
        </w:tc>
        <w:tc>
          <w:tcPr>
            <w:tcW w:w="30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29"/>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0"/>
        </w:trPr>
        <w:tc>
          <w:tcPr>
            <w:tcW w:w="9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One-time Charges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8"/>
        </w:trPr>
        <w:tc>
          <w:tcPr>
            <w:tcW w:w="964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660" w:right="140" w:hanging="652"/>
        <w:spacing w:after="0" w:line="250"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first quarter of 2025 and 2024, we recognized amortization expense of $6 million ($5 million after-tax) in general, administrative and store operating expense, related to our definite-lived intangible assets. For additional information, see Note 2, “Acquisition” and Note 7, “Long-Lived Assets” included in Item 1. Financial Statements.</w:t>
      </w:r>
    </w:p>
    <w:p>
      <w:pPr>
        <w:spacing w:after="0" w:line="1"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pre-tax charges of $6 million ($4 million after-tax), $4 million included in general, administrative and store operating expense and $2 million included in buying and occupancy expense, related to activities to restructure our executive leadership team and other one-time expenses.</w:t>
      </w:r>
    </w:p>
    <w:p>
      <w:pPr>
        <w:spacing w:after="0" w:line="1" w:lineRule="exact"/>
        <w:rPr>
          <w:rFonts w:ascii="Times New Roman" w:cs="Times New Roman" w:eastAsia="Times New Roman" w:hAnsi="Times New Roman"/>
          <w:sz w:val="18"/>
          <w:szCs w:val="18"/>
          <w:color w:val="auto"/>
        </w:rPr>
      </w:pPr>
    </w:p>
    <w:p>
      <w:pPr>
        <w:ind w:left="660" w:right="120" w:hanging="652"/>
        <w:spacing w:after="0" w:line="255"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recognized pre-tax expense of $8 million ($8 million after-tax), $7 million included in general, administrative and store operating expense and $1 million included in interest expense, related to the financial impact of purchase accounting items related to the acquisition of Adore Me. For additional information, see Note 2, “Acquisition” included in Item 1. Financial Statements.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U.S. company-operated store data for the first quarter of 2025 to the first quarter of 2024:</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80" w:type="dxa"/>
            <w:vAlign w:val="bottom"/>
          </w:tcPr>
          <w:p>
            <w:pPr>
              <w:spacing w:after="0"/>
              <w:rPr>
                <w:sz w:val="16"/>
                <w:szCs w:val="16"/>
                <w:color w:val="auto"/>
              </w:rPr>
            </w:pPr>
          </w:p>
        </w:tc>
      </w:tr>
      <w:tr>
        <w:trPr>
          <w:trHeight w:val="23"/>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08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twelve partner-operated stores as of May 3,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4880" w:space="46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4,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20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fourteen partner-operated stores as of May 4,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600"/>
        <w:spacing w:after="0" w:line="362" w:lineRule="auto"/>
        <w:rPr>
          <w:sz w:val="20"/>
          <w:szCs w:val="20"/>
          <w:color w:val="auto"/>
        </w:rPr>
      </w:pPr>
      <w:r>
        <w:rPr>
          <w:rFonts w:ascii="Times New Roman" w:cs="Times New Roman" w:eastAsia="Times New Roman" w:hAnsi="Times New Roman"/>
          <w:sz w:val="18"/>
          <w:szCs w:val="18"/>
          <w:b w:val="1"/>
          <w:bCs w:val="1"/>
          <w:color w:val="auto"/>
        </w:rPr>
        <w:t>First Quarter of 2025 Compared to First Quarter of 2024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5000" w:space="340"/>
            <w:col w:w="5900"/>
          </w:cols>
          <w:pgMar w:left="320" w:top="118" w:right="339" w:bottom="1440" w:gutter="0" w:footer="0" w:header="0"/>
          <w:type w:val="continuous"/>
        </w:sect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first quarter of 2025, our operating income decreased by $6 million, to $20 million, compared to operating income of $26 million in the first quarter of 2024, and the operating income rate (expressed as a percentage of net sales) decreased to 1.5% from 1.9%. The drivers of our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first quarter of 2025 in comparison to the first quarter of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5540" w:right="1880" w:hanging="5532"/>
        <w:spacing w:after="0" w:line="887" w:lineRule="auto"/>
        <w:tabs>
          <w:tab w:leader="none" w:pos="6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first quarter of 2024 to the first quarter of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10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9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2025 comparable sales to the first quarter of 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0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first quarter of 2025 were $1.353 billion, or flat compared to $1.359 billion in the first quarter of 2024.</w:t>
      </w:r>
    </w:p>
    <w:p>
      <w:pPr>
        <w:spacing w:after="0" w:line="10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$8 million, or 1%, to $721 million compared to the first quarter of 2024 as an increase in average unit retail was offset by decreases in traffic and conversion.</w:t>
      </w:r>
    </w:p>
    <w:p>
      <w:pPr>
        <w:spacing w:after="0" w:line="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decreased $16 million, or 3%, to $433 million compared to the first quarter of 2024 as an increase in conversion was offset by a decrease in traffic. Average unit retail was flat compared to the first quarter of 2024.</w:t>
      </w:r>
    </w:p>
    <w:p>
      <w:pPr>
        <w:spacing w:after="0" w:line="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$18 million, or 9%, to $199 million compared to the first quarter of 2024. Increases in net sales in the first quarter of 2025 compared to the first quarter of 2024 were driven by increases in net sales in China, sourcing sales to our partners and royalties earned associated with franchise sales in many countries outside of North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the first quarter of 2025, our gross profit decreased by $27 million compared to the first quarter of 2024 to $474 million, and our gross profit rate (expressed as a percentage of net sales) decreased to 35.1% from 36.9%.</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decrease in gross profit dollars was due to the decrease in merchandise margin dollars primarily driven by an increase in transportation costs and tariff-related order adjustments. The decrease in gross profit dollars was partially offset by a decrease in buying and occupancy expenses primarily driven by disciplined expense management initiatives and a decrease in rent expenses.</w:t>
      </w:r>
    </w:p>
    <w:p>
      <w:pPr>
        <w:spacing w:after="0" w:line="5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gross profit rate decrease compared to the first quarter of 2024 was primarily driven by increased transportation costs and tariff-related order adjustments.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first quarter of 2025, our general, administrative and store operating expenses decreased $21 million, or 4%, to $454 million compared to the first quarter of 2024. The decrease in general, administrative and store operating expenses compared to the first quarter of 2024 was due to a strategic shift in marketing spend from the first quarter to the second quarter, disciplined expense management initiatives and a decrease in charges related to Adore Me purchase accounting items, partially offset by an increase in expenses related to activities to restructure our executive leadership team.</w:t>
      </w:r>
    </w:p>
    <w:p>
      <w:pPr>
        <w:spacing w:after="0" w:line="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33.6% from 34.9% compared to the first quarter of 2024 primarily due to the strategic shift in marketing spend and disciplined expense management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first quarter of 2025, our interest expense decreased $5 million to $17 million compared to the first quarter of 2024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first quarter of 2025, the Company’s effective tax rate was 50.9% compared to 151.1% in the first quarter of 2024. The difference between the Company’s effective tax rate for both years and the combined estimated federal and state statutory rate was primarily due to additional tax expense from share-based compensation awards that vested in the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May 3, 2025, February 1, 2025 and May 4,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00" w:type="dxa"/>
            <w:vAlign w:val="bottom"/>
          </w:tcPr>
          <w:p>
            <w:pPr>
              <w:spacing w:after="0"/>
              <w:rPr>
                <w:sz w:val="13"/>
                <w:szCs w:val="13"/>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68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May 3, 2025 and May 4, 2024 amounts represent thirteen-week periods and the February 1, 2025 amounts represent a fifty-two-week period.</w:t>
      </w:r>
    </w:p>
    <w:p>
      <w:pPr>
        <w:spacing w:after="0" w:line="9" w:lineRule="exact"/>
        <w:rPr>
          <w:rFonts w:ascii="Times New Roman" w:cs="Times New Roman" w:eastAsia="Times New Roman" w:hAnsi="Times New Roman"/>
          <w:sz w:val="18"/>
          <w:szCs w:val="18"/>
          <w:color w:val="auto"/>
        </w:rPr>
      </w:pPr>
    </w:p>
    <w:p>
      <w:pPr>
        <w:ind w:left="660" w:right="140" w:hanging="652"/>
        <w:spacing w:after="0" w:line="253"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May 3, 2025, the availability under the ABL Facility was limited by our borrowing base of $631 million, less outstanding borrowings of $105 million and letters of credit of $17 million. For the reporting period ended February 1, 2025, the availability was limited by our borrowing base of $550 million, less letters of credit of $17 million. For the reporting period ended May 4, 2024, the availability under the ABL Facility was limited by our borrowing base of $646 million, less outstanding borrowings of $145 million and letters of credit of $19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first quarter of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used for operating activities reflects net income (loss) adjusted for non-cash items, including depreciation and amortization, share-based compensation expense and deferred tax expense, as well as changes in working capital. Net cash used for operating activities in the first quarter of 2025 was $150 million, an increase in net cash flows used for operating activities of $34 million compared to the first quarter of 2024. The increase in net cash flows used for operating activities in the first quarter of 2025 was primarily driven by higher net operating cash outflows associated with working capital changes of $35 million, partially offset by an increase in net income of $6 million compared to the first quarter of 2024. The most significant working capital driver resulting in the increase in net operating cash outflows in the first quarter of 2025 compared to the first quarter of 2024 is related to the increase in inventory levels. The increase in inventory levels is primarily related to continued growth in the international channel and our European distribution center, as well as supporting the growth of our lifestyle categories for sport and apparel. The increase in net operating cash outflows is also due to the related timing of payments for inventory.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2025 was $43 million, consisting solely of capital expenditures. The capital expenditures were primarily related to our store capital program and investments in technology and logistics related to our strategic initiatives to drive growth and support productivity.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2024 was $39 million, consisting solely of capital expenditures. The capital expenditures were primarily related to our store capital program and investments in technology related to our strategic initiatives to drive growth.</w:t>
      </w:r>
    </w:p>
    <w:p>
      <w:pPr>
        <w:spacing w:after="0" w:line="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$220 million for fiscal year 2025. We expect that our capital expenditures will continue to be focused on our store capital program along with investments in technology and logistics related to our strategic initiatives to drive growth and support productivity.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first quarter of 2025 was $106 million, consisting primarily of borrowings of $160 million under the ABL Facility, partially offset by $55 million of repayments under the ABL Facility.</w:t>
      </w:r>
    </w:p>
    <w:p>
      <w:pPr>
        <w:spacing w:after="0" w:line="40"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2024 was $10 million, consisting primarily of a $16 million payment for contingent consideration related to the acquisition of Adore Me and offsetting borrowings and repayments of $90 million under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the timing and amount of any share repurchases are made at our discretion, taking into account a number of factors, including market conditions.</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2024, our Board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not repurchased any shares of our common stock under the March 2024 Share Repurchase Program. As of May 3, 2025, we were authorized to repurchase up to $250 million of our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9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 February 1, 2025 and May 4,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$386 million Term Loan due August 2028 (“Term Loan Facility”)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$8 million and $12 million for the first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$1 million during both the first quarter of 2025 and 2024.</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May 3, 2025, the interest rate on the loans under the Term Loan Facility was 7.81%.</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and, as of May 3, 2025, an expiration date of August 2026.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 Prior to the amendment of the ABL Facility as described below,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$160 million and $90 million from the ABL Facility during the first quarter of 2025 and 2024, respectively, and made repayments of</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$55 million and $90 million under the ABL Facility during the first quarter of 2025 and 2024, respectively. As of May 3, 2025, there were borrowings of $105 million outstanding under the ABL Facility and the interest rate on the borrowings was 5.89%. We had $17 million of outstanding letters of credit as of May 3, 2025 that further reduced our availability under the ABL Facility. As of May 3, 2025, our remaining availability under the ABL Facility was $509 million.</w:t>
      </w:r>
    </w:p>
    <w:p>
      <w:pPr>
        <w:spacing w:after="0" w:line="5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May 21, 2025, subsequent to the end of the first quarter of 2025, we amended our ABL Facility. The amendment, among other things, (1) extends the maturity date of the ABL Facility to the earlier of (a) five years after the closing date of the amendment and (b) the date that is 91 days prior to the scheduled maturity date of certain outstanding material indebtedness with a principal balance exceeding $50 million to the extent that certain availability and financial covenant thresholds are not met on such date, (2) provides for a seasonal increase of the advance rate of eligible inventory in the borrowing base from 90.0% of the net orderly liquidation value of eligible inventory to 92.5% for a period of three consecutive fiscal months each year during our high season, (3) reduces the availability threshold for triggering the delivery of certain reporting deliverables, cash dominion and certain payment conditions, (4) reduces the applicable interest rate on borrowings under the ABL Facility (a) in the case of loans bearing interest based on Term SOFR or Term CORRA, to 1.50% to 1.75%, (b) in the case of alternate base rate loans and Canadian base rate loans, to 0.50% to 0.75% and (c) by removing the credit spread adjustment on SOFR-based borrowings and (5) replaces CDOR with Term CORRA with respect to Canadian borrowings.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amendment of the ABL Facility subsequent to the end of the first quarter of 2025 did not result in any changes to the financial covenants of the ABL Facility. The financial covenants could, within specific predefined circumstances, limit our ability to incur additional indebtedness, make certain investments, pay dividends or repurchase shares. As of May 3, 2025, we were in compliance with all covenants under our long-term debt and borrowing facilities.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May 3, 2025: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Except with respect to the additional $105 million of outstanding borrowings under the ABL Facility as of May 3, 2025, there have been no material changes in our contractual obligations since February 1, 2025, as discussed in “Contingent Liabilities and Contractual Obligations” in our 2024 Annual Report on Form 10-K filed with the SEC on March 21, 2025.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first quarter of 2025 that had a material impact on our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We do not expect this standard to have a material impact on our results of operations, financial position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2024 Annual Report on Form 10-K filed with the SEC on March 21, 2025.</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May 3, 2025,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outstanding long-term debt as of May 3, 2025 consists of the 2029 Notes, which have a fixed interest rate, the $386 million in outstanding borrowings under the Term Loan Facility, which has a variable interest rate based on Term SOFR, and the $105 million in outstanding borrowings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May 3, 2025,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May 4,</w:t>
            </w:r>
          </w:p>
        </w:tc>
      </w:tr>
      <w:tr>
        <w:trPr>
          <w:trHeight w:val="196"/>
        </w:trPr>
        <w:tc>
          <w:tcPr>
            <w:tcW w:w="7000" w:type="dxa"/>
            <w:vAlign w:val="bottom"/>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May 3, 2025, we believe that the carrying values of accounts receivable, accounts payable and accrued expenses approximate fair value because of their short maturity. We further believe the principal value of the outstanding debt under the ABL Facility approximates its fair value as of May 3, 2025 based on the terms of the borrowings from the ABL Facility.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May 3, 2025,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our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Officer, to allow timely decisions regarding required disclosure.</w:t>
      </w:r>
    </w:p>
    <w:p>
      <w:pPr>
        <w:spacing w:after="0" w:line="50" w:lineRule="exact"/>
        <w:rPr>
          <w:sz w:val="20"/>
          <w:szCs w:val="20"/>
          <w:color w:val="auto"/>
        </w:rPr>
      </w:pPr>
    </w:p>
    <w:p>
      <w:pPr>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2024 Annual Report on Form 10-K filed with the SEC on March 21, 2025. There have been no material changes to the risk factors from those described in the 2024 Annual Report on Form 10-K. We wish to caution the reader that the risk factors discussed in “Item 1A. Risk Factors” in our 2024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first quarter of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 2025 - March 1, 2025 (“February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 2025 - April 5, 2025 (“March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6, 2025 - May 3, 2025 (“April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5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if any,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540" w:hanging="652"/>
        <w:spacing w:after="0" w:line="255"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2024 Share Repurchase Program, which was announced on March 6, 2024, authorizes the purchase of up to $250 million of our common stock, subject to market conditions and other factors. The March 2024 Share Repurchase Program is open-ended in term and will continue until exhausted.</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3"/>
            <w:shd w:val="clear" w:color="auto" w:fill="CCEEFF"/>
          </w:tcPr>
          <w:p>
            <w:pPr>
              <w:ind w:left="14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780" w:type="dxa"/>
            <w:vAlign w:val="bottom"/>
            <w:shd w:val="clear" w:color="auto" w:fill="CCEEFF"/>
          </w:tcPr>
          <w:p>
            <w:pPr>
              <w:spacing w:after="0"/>
              <w:rPr>
                <w:sz w:val="17"/>
                <w:szCs w:val="17"/>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(incorporated by reference to Exhibit 3.1 to</w:t>
            </w: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243"/>
        </w:trPr>
        <w:tc>
          <w:tcPr>
            <w:tcW w:w="560" w:type="dxa"/>
            <w:vAlign w:val="bottom"/>
            <w:gridSpan w:val="3"/>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Rights Agreement, dated as of May 19, 2025, between Victoria’s Secret &amp; Co. and Equiniti Trust Company, LLC, as rights</w:t>
            </w:r>
          </w:p>
        </w:tc>
      </w:tr>
      <w:tr>
        <w:trPr>
          <w:trHeight w:val="142"/>
        </w:trPr>
        <w:tc>
          <w:tcPr>
            <w:tcW w:w="1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60" w:type="dxa"/>
            <w:vAlign w:val="bottom"/>
          </w:tcPr>
          <w:p>
            <w:pPr>
              <w:ind w:left="640"/>
              <w:spacing w:after="0" w:line="142" w:lineRule="exact"/>
              <w:rPr>
                <w:sz w:val="20"/>
                <w:szCs w:val="20"/>
                <w:color w:val="auto"/>
              </w:rPr>
            </w:pPr>
            <w:r>
              <w:rPr>
                <w:rFonts w:ascii="Times New Roman" w:cs="Times New Roman" w:eastAsia="Times New Roman" w:hAnsi="Times New Roman"/>
                <w:sz w:val="16"/>
                <w:szCs w:val="16"/>
                <w:color w:val="auto"/>
              </w:rPr>
              <w:t>agent (which includes the Form of Right Certificate attached as Exhibit B thereto) (incorporated by reference to Exhibit 4.1 to</w:t>
            </w:r>
          </w:p>
        </w:tc>
      </w:tr>
      <w:tr>
        <w:trPr>
          <w:trHeight w:val="234"/>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63"/>
        </w:trPr>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189"/>
        </w:trPr>
        <w:tc>
          <w:tcPr>
            <w:tcW w:w="56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Amendment No. 2 to Revolving Credit Agreement by and among Victoria’s Secret &amp; Co. and the Lenders named therein and</w:t>
            </w:r>
          </w:p>
        </w:tc>
      </w:tr>
      <w:tr>
        <w:trPr>
          <w:trHeight w:val="142"/>
        </w:trPr>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CCEEFF"/>
            </w:tcBorders>
            <w:shd w:val="clear" w:color="auto" w:fill="CCEEFF"/>
          </w:tcPr>
          <w:p>
            <w:pPr>
              <w:ind w:left="640"/>
              <w:spacing w:after="0" w:line="142" w:lineRule="exact"/>
              <w:rPr>
                <w:sz w:val="20"/>
                <w:szCs w:val="20"/>
                <w:color w:val="auto"/>
              </w:rPr>
            </w:pPr>
            <w:r>
              <w:rPr>
                <w:rFonts w:ascii="Times New Roman" w:cs="Times New Roman" w:eastAsia="Times New Roman" w:hAnsi="Times New Roman"/>
                <w:sz w:val="16"/>
                <w:szCs w:val="16"/>
                <w:color w:val="auto"/>
              </w:rPr>
              <w:t>JPMorgan Chase Bank, N.A., dated May 21, 2025 (incorporated by reference to Exhibit 10.1 to the Company’s Current Report</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on Form 8-K filed on May 22, 2025).</w:t>
            </w:r>
          </w:p>
        </w:tc>
      </w:tr>
      <w:tr>
        <w:trPr>
          <w:trHeight w:val="243"/>
        </w:trPr>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shd w:val="clear" w:color="auto" w:fill="CCEEFF"/>
          </w:tcPr>
          <w:p>
            <w:pPr>
              <w:spacing w:after="0"/>
              <w:rPr>
                <w:sz w:val="16"/>
                <w:szCs w:val="16"/>
                <w:color w:val="auto"/>
              </w:rPr>
            </w:pP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21"/>
                <w:szCs w:val="21"/>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Scott Sekella</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90" w:lineRule="exact"/>
        <w:rPr>
          <w:sz w:val="20"/>
          <w:szCs w:val="20"/>
          <w:color w:val="auto"/>
        </w:rPr>
      </w:pPr>
    </w:p>
    <w:p>
      <w:pPr>
        <w:ind w:left="420" w:hanging="412"/>
        <w:spacing w:after="0" w:line="282"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Sekella is the principal financial officer and the principal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118" w:right="4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2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23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Officer, of Victoria’s Secret &amp; Co. (the “Company”), each certifies that, to the best of her or his knowledge:</w:t>
      </w:r>
    </w:p>
    <w:p>
      <w:pPr>
        <w:spacing w:after="0" w:line="67" w:lineRule="exact"/>
        <w:rPr>
          <w:sz w:val="20"/>
          <w:szCs w:val="20"/>
          <w:color w:val="auto"/>
        </w:rPr>
      </w:pPr>
    </w:p>
    <w:p>
      <w:pPr>
        <w:ind w:left="660" w:right="360" w:hanging="328"/>
        <w:spacing w:after="0" w:line="271" w:lineRule="auto"/>
        <w:tabs>
          <w:tab w:leader="none" w:pos="65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Quarterly Report of the Company on Form 10-Q dated June 12, 2025 for the period ended May 3, 2025 (the “Form 10-Q”), fully complies with the requirements of Section 13(a) or 15(d) of the Securities Exchange Act of 1934; and</w:t>
      </w:r>
    </w:p>
    <w:p>
      <w:pPr>
        <w:spacing w:after="0" w:line="60" w:lineRule="exact"/>
        <w:rPr>
          <w:rFonts w:ascii="Times New Roman" w:cs="Times New Roman" w:eastAsia="Times New Roman" w:hAnsi="Times New Roman"/>
          <w:sz w:val="20"/>
          <w:szCs w:val="20"/>
          <w:color w:val="auto"/>
        </w:rPr>
      </w:pPr>
    </w:p>
    <w:p>
      <w:pPr>
        <w:ind w:left="660" w:right="680" w:hanging="328"/>
        <w:spacing w:after="0" w:line="282" w:lineRule="auto"/>
        <w:tabs>
          <w:tab w:leader="none" w:pos="6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46" Type="http://schemas.openxmlformats.org/officeDocument/2006/relationships/hyperlink" Target="https://www.sec.gov/Archives/edgar/data/1856437/000185643724000018/ex31vsco-61420248xk.htm" TargetMode="External"/><Relationship Id="rId47" Type="http://schemas.openxmlformats.org/officeDocument/2006/relationships/hyperlink" Target="https://www.sec.gov/Archives/edgar/data/1856437/000185643723000013/vsco-1282023x10kex32.htm" TargetMode="External"/><Relationship Id="rId48" Type="http://schemas.openxmlformats.org/officeDocument/2006/relationships/hyperlink" Target="https://www.sec.gov/Archives/edgar/data/1856437/000185643725000013/ex31vsco52020258-k.htm" TargetMode="External"/><Relationship Id="rId49" Type="http://schemas.openxmlformats.org/officeDocument/2006/relationships/hyperlink" Target="https://www.sec.gov/Archives/edgar/data/1856437/000185643725000013/ex41vsco52020258-k.htm" TargetMode="External"/><Relationship Id="rId50" Type="http://schemas.openxmlformats.org/officeDocument/2006/relationships/hyperlink" Target="https://www.sec.gov/Archives/edgar/data/1856437/000185643725000019/ex101vsco522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2025-06-12T15:25:58Z</dcterms:created>
  <dcterms:modified xsi:type="dcterms:W3CDTF">2025-06-12T15:25:58Z</dcterms:modified>
</cp:coreProperties>
</file>