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u w:val="single" w:color="auto"/>
          <w:color w:val="auto"/>
        </w:rPr>
        <w:t>Victoria’s Secret &amp; Co.</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5, 2026, Victoria’s Secret &amp; Co. issued the following press release:</w:t>
      </w:r>
    </w:p>
    <w:p>
      <w:pPr>
        <w:spacing w:after="0" w:line="221" w:lineRule="exact"/>
        <w:rPr>
          <w:sz w:val="20"/>
          <w:szCs w:val="20"/>
          <w:color w:val="auto"/>
        </w:rPr>
      </w:pPr>
    </w:p>
    <w:p>
      <w:pPr>
        <w:jc w:val="center"/>
        <w:ind w:left="440" w:right="320"/>
        <w:spacing w:after="0" w:line="286" w:lineRule="auto"/>
        <w:rPr>
          <w:sz w:val="20"/>
          <w:szCs w:val="20"/>
          <w:color w:val="auto"/>
        </w:rPr>
      </w:pPr>
      <w:r>
        <w:rPr>
          <w:rFonts w:ascii="Times New Roman" w:cs="Times New Roman" w:eastAsia="Times New Roman" w:hAnsi="Times New Roman"/>
          <w:sz w:val="18"/>
          <w:szCs w:val="18"/>
          <w:b w:val="1"/>
          <w:bCs w:val="1"/>
          <w:color w:val="auto"/>
        </w:rPr>
        <w:t>Victoria’s Secret &amp; Co. Board Comments on BBRC’s Distracting Proxy Contest; Underscores Significant Outperformance and Board’s Commitment to Acting in the Best Interest of Shareholders</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5, 2026</w:t>
      </w:r>
    </w:p>
    <w:p>
      <w:pPr>
        <w:spacing w:after="0" w:line="115" w:lineRule="exact"/>
        <w:rPr>
          <w:sz w:val="20"/>
          <w:szCs w:val="20"/>
          <w:color w:val="auto"/>
        </w:rPr>
      </w:pPr>
    </w:p>
    <w:p>
      <w:pPr>
        <w:ind w:left="204"/>
        <w:spacing w:after="0"/>
        <w:rPr>
          <w:sz w:val="20"/>
          <w:szCs w:val="20"/>
          <w:color w:val="auto"/>
        </w:rPr>
      </w:pPr>
      <w:r>
        <w:rPr>
          <w:rFonts w:ascii="Times New Roman" w:cs="Times New Roman" w:eastAsia="Times New Roman" w:hAnsi="Times New Roman"/>
          <w:sz w:val="18"/>
          <w:szCs w:val="18"/>
          <w:i w:val="1"/>
          <w:iCs w:val="1"/>
          <w:color w:val="auto"/>
        </w:rPr>
        <w:t>Since Board announced appointment of CEO Hillary Super, Company has delivered total shareholder returns of 164%, outperforming the S&amp;P 500</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Consumer Discretionary Distribution Retail Index by 124% and peers used by research analysts by 172%</w:t>
      </w: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Brett Blundy’s campaign follows Board’s decision not to appoint him as a director</w:t>
      </w:r>
    </w:p>
    <w:p>
      <w:pPr>
        <w:spacing w:after="0" w:line="225" w:lineRule="exact"/>
        <w:rPr>
          <w:sz w:val="20"/>
          <w:szCs w:val="20"/>
          <w:color w:val="auto"/>
        </w:rPr>
      </w:pPr>
    </w:p>
    <w:p>
      <w:pPr>
        <w:jc w:val="center"/>
        <w:ind w:left="440" w:right="60"/>
        <w:spacing w:after="0" w:line="284" w:lineRule="auto"/>
        <w:rPr>
          <w:sz w:val="20"/>
          <w:szCs w:val="20"/>
          <w:color w:val="auto"/>
        </w:rPr>
      </w:pPr>
      <w:r>
        <w:rPr>
          <w:rFonts w:ascii="Times New Roman" w:cs="Times New Roman" w:eastAsia="Times New Roman" w:hAnsi="Times New Roman"/>
          <w:sz w:val="18"/>
          <w:szCs w:val="18"/>
          <w:i w:val="1"/>
          <w:iCs w:val="1"/>
          <w:color w:val="auto"/>
        </w:rPr>
        <w:t>Board conducted a comprehensive review of Mr. Blundy’s candidacy which identified significant reputational, legal, conflict of interest and governance risks</w:t>
      </w:r>
    </w:p>
    <w:p>
      <w:pPr>
        <w:spacing w:after="0" w:line="160" w:lineRule="exact"/>
        <w:rPr>
          <w:sz w:val="20"/>
          <w:szCs w:val="20"/>
          <w:color w:val="auto"/>
        </w:rPr>
      </w:pPr>
    </w:p>
    <w:p>
      <w:pPr>
        <w:jc w:val="both"/>
        <w:ind w:left="4" w:right="40"/>
        <w:spacing w:after="0" w:line="289" w:lineRule="auto"/>
        <w:rPr>
          <w:sz w:val="20"/>
          <w:szCs w:val="20"/>
          <w:color w:val="auto"/>
        </w:rPr>
      </w:pPr>
      <w:r>
        <w:rPr>
          <w:rFonts w:ascii="Times New Roman" w:cs="Times New Roman" w:eastAsia="Times New Roman" w:hAnsi="Times New Roman"/>
          <w:sz w:val="17"/>
          <w:szCs w:val="17"/>
          <w:color w:val="auto"/>
        </w:rPr>
        <w:t>REYNOLDSBURG, Ohio, May 05, 2026 (GLOBE NEWSWIRE) — The Board of Directors (the “Board”) of Victoria’s Secret &amp; Co. (the “Company”) (NYSE: VSCO) today shared the following update regarding BBRC International Pte Limited’s (“BBRC”) and its Chairman Brett Blundy’s decision to launch a proxy contest seeking to withhold votes against two directors at the Company’s upcoming 2026 Annual Meeting of Shareholders.</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Company’s ongoing Path to Potential strategy is creating significant value for shareholders.</w:t>
      </w:r>
    </w:p>
    <w:p>
      <w:pPr>
        <w:spacing w:after="0" w:line="121" w:lineRule="exact"/>
        <w:rPr>
          <w:sz w:val="20"/>
          <w:szCs w:val="20"/>
          <w:color w:val="auto"/>
        </w:rPr>
      </w:pPr>
    </w:p>
    <w:p>
      <w:pPr>
        <w:ind w:left="4" w:right="220"/>
        <w:spacing w:after="0" w:line="277" w:lineRule="auto"/>
        <w:rPr>
          <w:sz w:val="20"/>
          <w:szCs w:val="20"/>
          <w:color w:val="auto"/>
        </w:rPr>
      </w:pPr>
      <w:r>
        <w:rPr>
          <w:rFonts w:ascii="Times New Roman" w:cs="Times New Roman" w:eastAsia="Times New Roman" w:hAnsi="Times New Roman"/>
          <w:sz w:val="18"/>
          <w:szCs w:val="18"/>
          <w:color w:val="auto"/>
        </w:rPr>
        <w:t>The Board took decisive action to put the Company on a new growth trajectory, including with the appointment of Hillary Super as CEO in late 2024. Since announcing Ms. Super’s appointment, the Company has delivered total shareholder returns of 164%, outperforming the S&amp;P 500 Consumer Discretionary Distribution &amp; Retail Index by 124% and the peers used by research analysts by 172%.</w:t>
      </w:r>
      <w:r>
        <w:rPr>
          <w:rFonts w:ascii="Times New Roman" w:cs="Times New Roman" w:eastAsia="Times New Roman" w:hAnsi="Times New Roman"/>
          <w:sz w:val="26"/>
          <w:szCs w:val="26"/>
          <w:color w:val="auto"/>
          <w:vertAlign w:val="superscript"/>
        </w:rPr>
        <w:t>1</w:t>
      </w:r>
    </w:p>
    <w:p>
      <w:pPr>
        <w:spacing w:after="0" w:line="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While the Board is pleased with the strong progress in executing the Company’s strategy, its number one priority is to continue driving this momentum.</w:t>
      </w:r>
    </w:p>
    <w:p>
      <w:pPr>
        <w:spacing w:after="0" w:line="329"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Board is disappointed that Mr. Blundy and BBRC have launched a distracting campaign, which appears to be in response to the Board’s decision not to appoint him as a director.</w:t>
      </w:r>
    </w:p>
    <w:p>
      <w:pPr>
        <w:spacing w:after="0" w:line="51"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The Board and management have engaged extensively with Mr. Blundy over several years. Across these interactions, his primary focus has been to obtain a Board seat for himself. The Board conducted a thorough and independent evaluation of Mr. Blundy’s candidacy on two separate occasions. Most recently, in November 2025, the Board rejected his candidacy after concluding that his appointment would introduce serious reputational, legal, conflict of interest and governance risks, threatening the progress the Company has made and its path forward.</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Notwithstanding the Board’s concerns, the Board proposed a framework for a collaborative resolution, which included adding a mutually agreed director to the Board, considering Mr. Blundy’s input in a Board review of the Company’s capital allocation, and entering into a longer-term information sharing agreement that would allow Mr. Blundy to provide the Board with his ideas. Unfortunately, Mr. Blundy refused to meaningfully engage on a resolution that did not include his own appointment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right="60" w:hanging="424"/>
        <w:spacing w:after="0" w:line="234"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FactSet as of May 4, 2026, measured against price at close on unaffected date of August 13, 2024, the date before the public announcement of Ms. Super’s appointment. Analyst peer group includes peers that at least one analyst references in research reports (from June, 2025) and is comprised of Abercrombie &amp; Fitch, American Eagle, Gap, Urban Outfitters, Levi, Buckle, Carter’s, Torrid, Lululemon, Aritzia, Bath &amp; Body Works, Capri, Dillard’s, Genesco, J.Jill, Kohl’s, Macy’s, The Children’s Place, Tilly’s, Tapestry, Zumiez, H&amp;M, Industria de Diseno Textil and Vera Bradley. The S&amp;P 500 Consumer Discretionary Distribution &amp; Retail Index is a point of comparison referenced by BBRC in its public letter dated May 4, 2026.</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has the right mix of skills and experience to maximize value for shareholders.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is composed of nine independent directors and CEO Hillary Super and is led by independent Chair Donna James, reflecting a strong commitment to independent oversight and accountability. Collectively, the Board has the skills, expertise and U.S. public company board service experience to provide effective governance and strategic guidance as management executes the Company’s Path to Potential strategy. The Board is highly engaged, having met 35 times across the past three fiscal years as the Company navigated a highly competitive retail environment and supported execution through a volatile geopolitical landscape and supply chain upheaval. The Board’s composition balances continuity and deep Company knowledge with fresh perspectives, including from the addition of three new independent directors since 2022 and the appointment of CEO Hillary Super to the Board in 2024.</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is unanimous in its support of the directors BBRC has chosen to target. Board Chair Donna James and Mariam Naficy have contributed meaningfully to establishing and overseeing the Company’s Path to Potential strategy and provide valuable expertise and perspective as the Company continues to execute 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remains focused on delivering value for our shareholders.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is focused on maximizing value for shareholders and does not want to distract from the progress the Company has made. The Board has full confidence in the Path to Potential strategy and the leadership team’s ability to continue executing.</w:t>
      </w:r>
    </w:p>
    <w:p>
      <w:pPr>
        <w:spacing w:after="0" w:line="162"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The Board is committed to acting in the best interest of all shareholders. As stated in the Company’s proxy filed on May 1, 2026, the Board does not presently intend to extend the short-term shareholder rights plan, which was adopted in response to the substantial accumulation of shares by BBRC, who had previously made an acquisition proposal for the Company. The rights plan is expected to expire pursuant to its terms on May 18, 2026.</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continues to actively engage with and receive input from the Company’s shareholders on a range of topics. The Board values feedback from all shareholders and will continue to use shareholder input to inform its decision making as fiduciaries.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Victoria’s Secret &amp; Co</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Victoria’s Secret &amp; Co. (NYSE: VSCO)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“forecast,”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ectPr>
          <w:pgSz w:w="11900" w:h="16838" w:orient="portrait"/>
          <w:cols w:equalWidth="0" w:num="1">
            <w:col w:w="10920"/>
          </w:cols>
          <w:pgMar w:left="440" w:top="266" w:right="539" w:bottom="1440" w:gutter="0" w:footer="0" w:header="0"/>
        </w:sectPr>
      </w:pPr>
    </w:p>
    <w:bookmarkStart w:id="3" w:name="page4"/>
    <w:bookmarkEnd w:id="3"/>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economic conditions, inflation, and changes in consumer confidence and consumer spending patterns;</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global trade environment, including the imposition or threatened imposition of tariffs or other trade policies and any retaliatory measures imposed by impacted exporting countries;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changes and turnover in company leadership or other key positions;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and product lines successfully;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realize the benefits and synergies sought with such acquisitions;</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and other emerging technologies into our business operations successfully and ethically while effectively managing the associated risks;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severe weather and natural disasters;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 against cybersecurity incidents and disruptions or failures of systems;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privacy of customer, associate, third-party and company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legal and regulatory requirements;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press release. 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2025 Annual Report on Form 10-K filed with the Securities and Exchange Commission on March 20, 2026.</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Information Regarding Participants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each of its directors (Irene Chang Britt, Sarah Davis, Donna James, Jacqueline Hernández, Rod Little, David McCreight, Mariam Naficy, Lauren Peters, Anne Sheehan and Hillary Super) and its Chief Financial and Operating Officer Scott Sekella will be “participants” (as defined in Section 14(a) of the Exchange Act) in the solicitation of proxies from the Company’s stockholders in connection with the matters to be considered at the Company’s 2026 Annual Meeting of Shareholders (the “Annual Meeting”). Information about our named executive officers and our non-employee directors, as well as regarding the participants’ holdings of the Company’s securities, is set forth in the Company’s definitive proxy statement on Schedule 14A for the Company’s 2026 Annual Meeting of Shareholders, filed on May 1, 2026 (including any amendments or supplements thereto, the “Proxy Statement”), and is available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in the sections entitled “Director Compensation,” “Compensation Discussion and Analysis” and “Beneficial Ownership of Shares.” To the extent holdings of the Company’s securities by any such director or executive officer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The Company filed a definitive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with the SEC in connection with the solicitation of proxies for the Annual Meeting. The Company’s shareholders are strongly encouraged to carefully read such Proxy Statement,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and the other documents filed with, or furnished to, the SEC in their entirety when they become available because they will contain important information. The Company’s shareholders will be able to obtain the Proxy Statement and the other documents filed or furnished by the Company with the SEC free of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will also be available free of charge at the Company’s website at </w:t>
      </w:r>
      <w:r>
        <w:rPr>
          <w:rFonts w:ascii="Times New Roman" w:cs="Times New Roman" w:eastAsia="Times New Roman" w:hAnsi="Times New Roman"/>
          <w:sz w:val="18"/>
          <w:szCs w:val="18"/>
          <w:u w:val="single" w:color="auto"/>
          <w:color w:val="auto"/>
        </w:rPr>
        <w:t>https://www.victoriassecretandco.com/investors/financial-information/sec-filings</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Victoria’s Secret &amp; Co.:</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 Relations:</w:t>
            </w:r>
          </w:p>
        </w:tc>
      </w:tr>
      <w:tr>
        <w:trPr>
          <w:trHeight w:val="194"/>
        </w:trPr>
        <w:tc>
          <w:tcPr>
            <w:tcW w:w="5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investorrelations@victoria.com</w:t>
            </w:r>
          </w:p>
        </w:tc>
        <w:tc>
          <w:tcPr>
            <w:tcW w:w="2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Brooke Wilson</w:t>
            </w:r>
          </w:p>
        </w:tc>
      </w:tr>
      <w:tr>
        <w:trPr>
          <w:trHeight w:val="196"/>
        </w:trPr>
        <w:tc>
          <w:tcPr>
            <w:tcW w:w="2260" w:type="dxa"/>
            <w:vAlign w:val="bottom"/>
            <w:tcBorders>
              <w:top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22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communications@victoria.com</w:t>
            </w:r>
          </w:p>
        </w:tc>
        <w:tc>
          <w:tcPr>
            <w:tcW w:w="80" w:type="dxa"/>
            <w:vAlign w:val="bottom"/>
          </w:tcPr>
          <w:p>
            <w:pPr>
              <w:spacing w:after="0"/>
              <w:rPr>
                <w:sz w:val="17"/>
                <w:szCs w:val="17"/>
                <w:color w:val="auto"/>
              </w:rPr>
            </w:pPr>
          </w:p>
        </w:tc>
      </w:tr>
      <w:tr>
        <w:trPr>
          <w:trHeight w:val="218"/>
        </w:trPr>
        <w:tc>
          <w:tcPr>
            <w:tcW w:w="2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Edelman Smithfield</w:t>
            </w:r>
          </w:p>
        </w:tc>
      </w:tr>
      <w:tr>
        <w:trPr>
          <w:trHeight w:val="194"/>
        </w:trPr>
        <w:tc>
          <w:tcPr>
            <w:tcW w:w="22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3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VSCO@edelmansmithfield.com</w:t>
            </w:r>
          </w:p>
        </w:tc>
      </w:tr>
    </w:tbl>
    <w:p>
      <w:pPr>
        <w:spacing w:after="0" w:line="1" w:lineRule="exact"/>
        <w:rPr>
          <w:sz w:val="20"/>
          <w:szCs w:val="20"/>
          <w:color w:val="auto"/>
        </w:rPr>
      </w:pP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2026-05-05T15:37:05Z</dcterms:created>
  <dcterms:modified xsi:type="dcterms:W3CDTF">2026-05-05T15:37:05Z</dcterms:modified>
</cp:coreProperties>
</file>